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shd w:fill="FFFFFF" w:val="clear"/>
        <w:spacing w:lineRule="auto" w:line="240" w:before="160" w:after="0"/>
        <w:jc w:val="both"/>
        <w:rPr>
          <w:rFonts w:eastAsia="Times New Roman" w:cs="Times New Roman" w:ascii="Times New Roman" w:hAnsi="Times New Roman"/>
          <w:b/>
          <w:sz w:val="28"/>
          <w:szCs w:val="28"/>
        </w:rPr>
      </w:pPr>
      <w:r>
        <w:rPr>
          <w:rFonts w:eastAsia="Times New Roman" w:cs="Times New Roman" w:ascii="Times New Roman" w:hAnsi="Times New Roman"/>
          <w:b/>
          <w:sz w:val="28"/>
          <w:szCs w:val="28"/>
        </w:rPr>
        <w:t>DISEGNO DI LEGGE PER LA CONVERSIONE IN LEGGE DEL DECRETO-LEGGE     APRILE 2021, N.        RECANTE MISURE URGENTI PER LA GRADUALE RIPRESA DELLE ATTIVITA’ ECONOMICHE E SOCIALI NEL RISPETTO DELLE ESIGENZE DI CONTENIMENTO DELLA DIFFUSIONE DELL’EPIDEMIA DA COVID-19.</w:t>
      </w:r>
    </w:p>
    <w:p>
      <w:pPr>
        <w:pStyle w:val="Normal"/>
        <w:spacing w:lineRule="auto" w:line="240" w:before="0" w:after="0"/>
        <w:jc w:val="center"/>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eastAsia="Times New Roman" w:cs="Times New Roman" w:ascii="Times New Roman" w:hAnsi="Times New Roman"/>
          <w:b/>
          <w:sz w:val="24"/>
          <w:szCs w:val="24"/>
        </w:rPr>
      </w:pPr>
      <w:bookmarkStart w:id="0" w:name="_gjdgxs"/>
      <w:bookmarkStart w:id="1" w:name="_gjdgxs"/>
      <w:bookmarkEnd w:id="1"/>
      <w:r>
        <w:rPr>
          <w:rFonts w:eastAsia="Times New Roman" w:cs="Times New Roman" w:ascii="Times New Roman" w:hAnsi="Times New Roman"/>
          <w:b/>
          <w:sz w:val="24"/>
          <w:szCs w:val="24"/>
        </w:rPr>
      </w:r>
    </w:p>
    <w:p>
      <w:pPr>
        <w:pStyle w:val="Normal"/>
        <w:spacing w:lineRule="auto" w:line="240" w:before="0" w:after="0"/>
        <w:jc w:val="center"/>
        <w:rPr>
          <w:rFonts w:eastAsia="Times New Roman" w:cs="Times New Roman" w:ascii="Times New Roman" w:hAnsi="Times New Roman"/>
          <w:b/>
          <w:sz w:val="28"/>
          <w:szCs w:val="28"/>
          <w:u w:val="single"/>
        </w:rPr>
      </w:pPr>
      <w:r>
        <w:rPr>
          <w:rFonts w:eastAsia="Times New Roman" w:cs="Times New Roman" w:ascii="Times New Roman" w:hAnsi="Times New Roman"/>
          <w:b/>
          <w:sz w:val="28"/>
          <w:szCs w:val="28"/>
          <w:u w:val="single"/>
        </w:rPr>
        <w:t xml:space="preserve">R E L A Z I O N E </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Il presente decreto si inserisce nella strategia di rilancio del Paese come reazione alla crisi dovuta all’emergenza pandemica in corso, fondata su tre pilastri: previsione di un dettagliato calendario per le riaperture e per l’allentamento delle limitazioni degli spostamenti sul territorio nazionale, adozione di misure di sostegno all’economia e alle imprese e per il rilancio della crescita grazie agli investimenti. Questa strategia si fonda su una situazione sanitaria in positiva evoluzione, a seguito del rallentamento della curva dei contagi e l’accelerazione della campagna vaccinale.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Nello specifico, si passano in rassegna gli articoli di cui si compone il provvedimento.</w:t>
      </w:r>
    </w:p>
    <w:p>
      <w:pPr>
        <w:pStyle w:val="Normal"/>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spacing w:lineRule="auto" w:line="240" w:before="0" w:after="0"/>
        <w:rPr>
          <w:rFonts w:eastAsia="Times New Roman" w:cs="Times New Roman" w:ascii="Times New Roman" w:hAnsi="Times New Roman"/>
          <w:b/>
          <w:i/>
          <w:sz w:val="24"/>
          <w:szCs w:val="24"/>
        </w:rPr>
      </w:pPr>
      <w:r>
        <w:rPr>
          <w:rFonts w:eastAsia="Times New Roman" w:cs="Times New Roman" w:ascii="Times New Roman" w:hAnsi="Times New Roman"/>
          <w:b/>
          <w:sz w:val="24"/>
          <w:szCs w:val="24"/>
        </w:rPr>
        <w:t xml:space="preserve">ART. 1 </w:t>
      </w:r>
      <w:r>
        <w:rPr>
          <w:rFonts w:eastAsia="Times New Roman" w:cs="Times New Roman" w:ascii="Times New Roman" w:hAnsi="Times New Roman"/>
          <w:b/>
          <w:i/>
          <w:sz w:val="24"/>
          <w:szCs w:val="24"/>
        </w:rPr>
        <w:t xml:space="preserve">(Rispristino della disciplina delle zone gialle e ulteriori misure per contenere e contrastare l'emergenza epidemiologica da COVID-19) </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 norma prevede che,</w:t>
      </w:r>
      <w:r>
        <w:rPr/>
        <w:t xml:space="preserve"> </w:t>
      </w:r>
      <w:r>
        <w:rPr>
          <w:rFonts w:eastAsia="Times New Roman" w:cs="Times New Roman" w:ascii="Times New Roman" w:hAnsi="Times New Roman"/>
          <w:sz w:val="24"/>
          <w:szCs w:val="24"/>
        </w:rPr>
        <w:t>fatte salve le diverse previsioni disposte dal presente decreto, dal 1° maggio al 31 luglio 2021, si applicano le misure di cui al dPCm 2 marzo 2021. Pertanto, per tutto ciò che non sia espressamente ridisciplinato dal presente decreto valgono le previsioni contenute nel predetto dPCm. Già dal 26 aprile poi tornano consentiti gli spostamenti in entrata e in uscita dai territori che si collocano in zona gialla e bianca.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Dal 1° maggio al 31 luglio 2021 viene confermato che nelle regioni individuate con ordinanza del Ministro della salute nelle quali l'incidenza cumulativa settimanale dei contagi è superiore a 250 casi ogni 100.000 abitanti, si applicano le misure della zona rossa, così come è ribadita la possibilità per i Presidenti di regione di prevedere le misure della zona rossa nelle province in cui l'incidenza cumulativa settimanale dei contagi è superiore a 250 casi ogni 100.000 abitanti nonché nelle aree in cui la circolazione di varianti di SARS-CoV-2 determina alto rischio di diffusività o induce malattia grave.</w:t>
      </w:r>
    </w:p>
    <w:p>
      <w:pPr>
        <w:pStyle w:val="Normal"/>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spacing w:lineRule="auto" w:line="240" w:before="0" w:after="0"/>
        <w:rPr>
          <w:rFonts w:eastAsia="Times New Roman" w:cs="Times New Roman" w:ascii="Times New Roman" w:hAnsi="Times New Roman"/>
          <w:b/>
          <w:i/>
          <w:sz w:val="24"/>
          <w:szCs w:val="24"/>
        </w:rPr>
      </w:pPr>
      <w:r>
        <w:rPr>
          <w:rFonts w:eastAsia="Times New Roman" w:cs="Times New Roman" w:ascii="Times New Roman" w:hAnsi="Times New Roman"/>
          <w:b/>
          <w:sz w:val="24"/>
          <w:szCs w:val="24"/>
        </w:rPr>
        <w:t xml:space="preserve">ART. 2 </w:t>
      </w:r>
      <w:r>
        <w:rPr>
          <w:rFonts w:eastAsia="Times New Roman" w:cs="Times New Roman" w:ascii="Times New Roman" w:hAnsi="Times New Roman"/>
          <w:b/>
          <w:i/>
          <w:sz w:val="24"/>
          <w:szCs w:val="24"/>
        </w:rPr>
        <w:t>(Misure relative agli spostamenti)</w:t>
      </w:r>
    </w:p>
    <w:p>
      <w:pPr>
        <w:pStyle w:val="Normal"/>
        <w:jc w:val="both"/>
        <w:rPr>
          <w:rFonts w:eastAsia="Times New Roman" w:cs="Times New Roman" w:ascii="Times New Roman" w:hAnsi="Times New Roman"/>
          <w:color w:val="000000"/>
          <w:sz w:val="24"/>
          <w:szCs w:val="24"/>
        </w:rPr>
      </w:pPr>
      <w:r>
        <w:rPr>
          <w:rFonts w:eastAsia="Times New Roman" w:cs="Times New Roman" w:ascii="Times New Roman" w:hAnsi="Times New Roman"/>
          <w:sz w:val="24"/>
          <w:szCs w:val="24"/>
        </w:rPr>
        <w:t xml:space="preserve">La norma dispone che chi è in possesso di certificazione verde può spostarsi in entrata e in uscita dai territori collocati in zona arancione o rossa. Tali spostamenti rimangono chiaramente sempre consentiti, anche in assenza della predetta certificazione, per comprovate esigenze lavorative o per situazioni di necessità o per motivi di salute, nonché per rientrare nei propri residenza, domicilio o abitazione. Inoltre, fino al 15 giugno 2021, nella zona gialla e, in ambito comunale, nella zona arancione, si consente lo spostamento verso una sola abitazione privata, una volta al giorno, nel rispetto dei limiti orari agli spostamenti e nel limite di quattro persone (fino ad oggi erano due) ulteriori rispetto a quelle ivi già conviventi, oltre ai minorenni sui quali tali persone esercitino la responsabilità genitoriale e alle persone con disabilità o non autosufficienti conviventi. Con atti secondari vengono poi definiti i casi nei quali le certificazioni verdi </w:t>
      </w:r>
      <w:r>
        <w:rPr>
          <w:rFonts w:eastAsia="Times New Roman" w:cs="Times New Roman" w:ascii="Times New Roman" w:hAnsi="Times New Roman"/>
          <w:color w:val="000000"/>
          <w:sz w:val="24"/>
          <w:szCs w:val="24"/>
        </w:rPr>
        <w:t>consentono di derogare a divieti di spostamenti da e per l’estero o a obblighi di sottoporsi a misure sanitarie in dipendenza dei medesimi spostamenti. Al comma 3 si prevede che con ordinanza del Ministro della salute sono definiti i casi nei quali le certificazioni verdi COVID-19 consentono di derogare a divieti di spostamento da e per l’estero o a obblighi di sottoporsi a misure sanitarie in dipendenza dei medesimi spostamenti.</w:t>
      </w:r>
    </w:p>
    <w:p>
      <w:pPr>
        <w:pStyle w:val="Normal"/>
        <w:spacing w:lineRule="auto" w:line="240" w:before="0" w:after="0"/>
        <w:rPr>
          <w:rFonts w:eastAsia="Times New Roman" w:cs="Times New Roman" w:ascii="Times New Roman" w:hAnsi="Times New Roman"/>
          <w:b/>
          <w:i/>
          <w:sz w:val="24"/>
          <w:szCs w:val="24"/>
        </w:rPr>
      </w:pPr>
      <w:r>
        <w:rPr>
          <w:rFonts w:eastAsia="Times New Roman" w:cs="Times New Roman" w:ascii="Times New Roman" w:hAnsi="Times New Roman"/>
          <w:b/>
          <w:sz w:val="24"/>
          <w:szCs w:val="24"/>
        </w:rPr>
        <w:t xml:space="preserve">ART. 3 </w:t>
      </w:r>
      <w:r>
        <w:rPr>
          <w:rFonts w:eastAsia="Times New Roman" w:cs="Times New Roman" w:ascii="Times New Roman" w:hAnsi="Times New Roman"/>
          <w:b/>
          <w:i/>
          <w:sz w:val="24"/>
          <w:szCs w:val="24"/>
        </w:rPr>
        <w:t>(Disposizioni urgenti per le attività scolastiche e didattiche delle scuole di ogni ordine e grado e per l’istruzione superiore)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L’articolo prevede le modalità per la ripresa delle attività scolastiche nelle istituzioni scolastiche e universitarie dell’intero territorio nazionale.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Il </w:t>
      </w:r>
      <w:r>
        <w:rPr>
          <w:rFonts w:eastAsia="Times New Roman" w:cs="Times New Roman" w:ascii="Times New Roman" w:hAnsi="Times New Roman"/>
          <w:b/>
          <w:sz w:val="24"/>
          <w:szCs w:val="24"/>
        </w:rPr>
        <w:t>comma 1</w:t>
      </w:r>
      <w:r>
        <w:rPr>
          <w:rFonts w:eastAsia="Times New Roman" w:cs="Times New Roman" w:ascii="Times New Roman" w:hAnsi="Times New Roman"/>
          <w:sz w:val="24"/>
          <w:szCs w:val="24"/>
        </w:rPr>
        <w:t xml:space="preserve"> stabilisce che dal 26 aprile e fino alla conclusione dell’anno scolastico 2020-2021, riprendono in presenza le attività dei servizi educativi per l'infanzia, della scuola dell'infanzia, della scuola primaria e della scuola secondaria di primo grado, nonché, almeno il 50 per cento della popolazione studentesca, delle attività scolastiche e didattiche della scuola secondaria di secondo grado. Si chiarisce che le predette disposizioni non possono essere derogate da provvedimenti dei Presidenti delle regioni e delle province autonome di Trento e Bolzano e dei Sindaci, salvo i casi di presenza di focolai o di rischio estremamente elevato di diffusione del virus SARS-CoV-2 o di sue varianti nella popolazione scolastica. In tal caso i provvedimenti di deroga sono motivatamente adottati, sentite le competenti autorità sanitarie, anche per porzioni di territorio.</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Al </w:t>
      </w:r>
      <w:r>
        <w:rPr>
          <w:rFonts w:eastAsia="Times New Roman" w:cs="Times New Roman" w:ascii="Times New Roman" w:hAnsi="Times New Roman"/>
          <w:b/>
          <w:sz w:val="24"/>
          <w:szCs w:val="24"/>
        </w:rPr>
        <w:t>comma 2</w:t>
      </w:r>
      <w:r>
        <w:rPr>
          <w:rFonts w:eastAsia="Times New Roman" w:cs="Times New Roman" w:ascii="Times New Roman" w:hAnsi="Times New Roman"/>
          <w:sz w:val="24"/>
          <w:szCs w:val="24"/>
        </w:rPr>
        <w:t xml:space="preserve"> si stabilisce che per il periodo, dal 26 aprile e fino alla conclusione dell’anno scolastico 2020-2021, le istituzioni scolastiche secondarie di secondo grado adottano forme flessibili nell'organizzazione dell'attività didattica. A tal fine si prevede che per le zone rosse, sia garantita l'attività didattica in presenza ad almeno il 50 per cento, e, fino a un massimo del 75 per cento, della popolazione studentesca, e, per le zone gialle e arancioni, ad almeno il 70 per cento e fino al 100 per cento della popolazione studentesca. La didattica a distanza è utilizzata dagli altri studenti.</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Al </w:t>
      </w:r>
      <w:r>
        <w:rPr>
          <w:rFonts w:eastAsia="Times New Roman" w:cs="Times New Roman" w:ascii="Times New Roman" w:hAnsi="Times New Roman"/>
          <w:b/>
          <w:sz w:val="24"/>
          <w:szCs w:val="24"/>
        </w:rPr>
        <w:t>comma 3</w:t>
      </w:r>
      <w:r>
        <w:rPr>
          <w:rFonts w:eastAsia="Times New Roman" w:cs="Times New Roman" w:ascii="Times New Roman" w:hAnsi="Times New Roman"/>
          <w:sz w:val="24"/>
          <w:szCs w:val="24"/>
        </w:rPr>
        <w:t xml:space="preserve"> si introduce una particolare previsione per le istituzioni scolastiche, che possono operare in presenza per l’uso dei laboratori o per favorire l’inclusione scolastica degli alunni con disabilità e con bisogni educativi speciali, garantendo comunque il collegamento telematico con gli altri alunni della classe.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I </w:t>
      </w:r>
      <w:r>
        <w:rPr>
          <w:rFonts w:eastAsia="Times New Roman" w:cs="Times New Roman" w:ascii="Times New Roman" w:hAnsi="Times New Roman"/>
          <w:b/>
          <w:sz w:val="24"/>
          <w:szCs w:val="24"/>
        </w:rPr>
        <w:t>commi 4 e 5</w:t>
      </w:r>
      <w:r>
        <w:rPr>
          <w:rFonts w:eastAsia="Times New Roman" w:cs="Times New Roman" w:ascii="Times New Roman" w:hAnsi="Times New Roman"/>
          <w:sz w:val="24"/>
          <w:szCs w:val="24"/>
        </w:rPr>
        <w:t xml:space="preserve"> disciplinano le attività didattiche della formazione superiore per il periodo dal 26 aprile 2021 e fino al 31 luglio 2021. Il comma 4 prevede che nelle zone gialle e arancioni, le attività didattiche e curriculari delle università sono svolte prioritariamente in presenza secondo appositi piani di organizzazione della didattica e delle attività curricolari. Nelle zone rosse i predetti piani  possono prevedere lo svolgimento in presenza degli insegnamenti relativi al primo anno dei corsi di studio ovvero delle attività formative rivolte a classi con ridotto numero di studenti. Sull’intero territorio nazionale, i citati piani di organizzazione prevedono, lo svolgimento in presenza degli esami, delle prove e delle sedute di laurea, delle attività di orientamento e di tutorato, delle attività dei laboratori, nonché l’apertura delle biblioteche, tenendo conto anche delle esigenze formative degli studenti con disabilità. Infine, il comma 5 estende le disposizioni del comma 4, per quanto compatibili, anche alle Istituzioni di alta formazione artistica musicale e coreutica-AFAM, ai Conservatori di Musica, alle Accademie e gli ISIA, nonché alle attività delle altre istituzioni di alta formazione collegate alle università.</w:t>
      </w:r>
    </w:p>
    <w:p>
      <w:pPr>
        <w:pStyle w:val="Normal"/>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rPr>
          <w:rFonts w:eastAsia="Times New Roman" w:cs="Times New Roman" w:ascii="Times New Roman" w:hAnsi="Times New Roman"/>
          <w:b/>
          <w:i/>
          <w:color w:val="000000"/>
          <w:sz w:val="24"/>
          <w:szCs w:val="24"/>
        </w:rPr>
      </w:pPr>
      <w:r>
        <w:rPr>
          <w:rFonts w:eastAsia="Times New Roman" w:cs="Times New Roman" w:ascii="Times New Roman" w:hAnsi="Times New Roman"/>
          <w:b/>
          <w:color w:val="000000"/>
          <w:sz w:val="24"/>
          <w:szCs w:val="24"/>
        </w:rPr>
        <w:t xml:space="preserve">ART. 4 </w:t>
      </w:r>
      <w:r>
        <w:rPr>
          <w:rFonts w:eastAsia="Times New Roman" w:cs="Times New Roman" w:ascii="Times New Roman" w:hAnsi="Times New Roman"/>
          <w:b/>
          <w:i/>
          <w:color w:val="000000"/>
          <w:sz w:val="24"/>
          <w:szCs w:val="24"/>
        </w:rPr>
        <w:t>(Attività dei servizi di ristorazione)</w:t>
      </w:r>
    </w:p>
    <w:p>
      <w:pPr>
        <w:pStyle w:val="Normal"/>
        <w:spacing w:lineRule="auto" w:line="240" w:before="0" w:after="0"/>
        <w:jc w:val="both"/>
        <w:rPr>
          <w:rFonts w:eastAsia="Times New Roman" w:cs="Times New Roman" w:ascii="Times New Roman" w:hAnsi="Times New Roman"/>
          <w:color w:val="000000"/>
          <w:sz w:val="24"/>
          <w:szCs w:val="24"/>
        </w:rPr>
      </w:pPr>
      <w:r>
        <w:rPr>
          <w:rFonts w:eastAsia="Times New Roman" w:cs="Times New Roman" w:ascii="Times New Roman" w:hAnsi="Times New Roman"/>
          <w:color w:val="000000"/>
          <w:sz w:val="24"/>
          <w:szCs w:val="24"/>
        </w:rPr>
        <w:t>L’articolo reca misure di progressiva riapertura dei servizi di ristorazione a tavolo, nel quadro dell’emergenza pandemica.</w:t>
      </w:r>
    </w:p>
    <w:p>
      <w:pPr>
        <w:pStyle w:val="Normal"/>
        <w:spacing w:lineRule="auto" w:line="240" w:before="0" w:after="0"/>
        <w:jc w:val="both"/>
        <w:rPr>
          <w:rFonts w:eastAsia="Times New Roman"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ln particolare, si consente, dal 26 aprile 2021, nella zona gialla, la consumazione al tavolo all’aperto per le attività dei servizi di ristorazione, svolte da qualsiasi esercizio, anche a cena, sempre nel rispetto dei limiti orari agli spostamenti di cui </w:t>
      </w:r>
      <w:r>
        <w:rPr>
          <w:rFonts w:eastAsia="Times New Roman" w:cs="Times New Roman" w:ascii="Times New Roman" w:hAnsi="Times New Roman"/>
          <w:sz w:val="24"/>
          <w:szCs w:val="24"/>
        </w:rPr>
        <w:t>ai provvedimenti adottati in attuazione dell’articolo 2 del decreto-legge n. 19 del 2020</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nonché da protocolli e linee guida adottati ai sensi</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dell’articolo 1, comma 14, del decreto-legge n. 33 del 2020</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color w:val="000000"/>
          <w:sz w:val="24"/>
          <w:szCs w:val="24"/>
        </w:rPr>
        <w:t>Resta consentita senza limiti di orario la ristorazione negli alberghi e in altre strutture ricettive limitatamente ai propri clienti, che siano ivi alloggiati.</w:t>
      </w:r>
    </w:p>
    <w:p>
      <w:pPr>
        <w:pStyle w:val="Normal"/>
        <w:spacing w:lineRule="auto" w:line="240" w:before="0" w:after="0"/>
        <w:jc w:val="both"/>
        <w:rPr>
          <w:rFonts w:eastAsia="Times New Roman" w:cs="Times New Roman" w:ascii="Times New Roman" w:hAnsi="Times New Roman"/>
          <w:color w:val="1F497D"/>
          <w:sz w:val="24"/>
          <w:szCs w:val="24"/>
        </w:rPr>
      </w:pPr>
      <w:r>
        <w:rPr>
          <w:rFonts w:eastAsia="Times New Roman" w:cs="Times New Roman" w:ascii="Times New Roman" w:hAnsi="Times New Roman"/>
          <w:color w:val="000000"/>
          <w:sz w:val="24"/>
          <w:szCs w:val="24"/>
        </w:rPr>
        <w:t xml:space="preserve">Dal 1° giugno, nella zona gialla, le attività dei servizi di ristorazione con consumo al tavolo sono consentite anche al chiuso, dalle ore 5:00 fino alle ore 18:00, sempre nel rispetto di protocolli e linee guida </w:t>
      </w:r>
      <w:r>
        <w:rPr>
          <w:rFonts w:eastAsia="Times New Roman" w:cs="Times New Roman" w:ascii="Times New Roman" w:hAnsi="Times New Roman"/>
          <w:sz w:val="24"/>
          <w:szCs w:val="24"/>
        </w:rPr>
        <w:t>adottati ai sensi</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dell’articoli 1, comma 14, del decreto-legge n. 33 del 2020</w:t>
      </w:r>
      <w:r>
        <w:rPr>
          <w:rFonts w:eastAsia="Times New Roman" w:cs="Times New Roman" w:ascii="Times New Roman" w:hAnsi="Times New Roman"/>
          <w:color w:val="000000"/>
          <w:sz w:val="24"/>
          <w:szCs w:val="24"/>
        </w:rPr>
        <w:t>.</w:t>
      </w:r>
      <w:r>
        <w:rPr>
          <w:rFonts w:eastAsia="Times New Roman" w:cs="Times New Roman" w:ascii="Times New Roman" w:hAnsi="Times New Roman"/>
          <w:color w:val="1F497D"/>
          <w:sz w:val="24"/>
          <w:szCs w:val="24"/>
        </w:rPr>
        <w:t xml:space="preserve"> </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Resta fermo quanto previsto dal dPCm in merito alle attività delle mense e del </w:t>
      </w:r>
      <w:r>
        <w:rPr>
          <w:rFonts w:eastAsia="Times New Roman" w:cs="Times New Roman" w:ascii="Times New Roman" w:hAnsi="Times New Roman"/>
          <w:i/>
          <w:sz w:val="24"/>
          <w:szCs w:val="24"/>
        </w:rPr>
        <w:t>catering</w:t>
      </w:r>
      <w:r>
        <w:rPr>
          <w:rFonts w:eastAsia="Times New Roman" w:cs="Times New Roman" w:ascii="Times New Roman" w:hAnsi="Times New Roman"/>
          <w:sz w:val="24"/>
          <w:szCs w:val="24"/>
        </w:rPr>
        <w:t xml:space="preserve"> continuativo su base contrattuale, che continuano ad essere consentite anche al chiuso.</w:t>
      </w:r>
    </w:p>
    <w:p>
      <w:pPr>
        <w:pStyle w:val="Normal"/>
        <w:spacing w:lineRule="auto" w:line="240" w:before="0" w:after="0"/>
        <w:jc w:val="both"/>
        <w:rPr>
          <w:rFonts w:eastAsia="Times New Roman" w:cs="Times New Roman" w:ascii="Times New Roman" w:hAnsi="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rPr>
          <w:rFonts w:eastAsia="Times New Roman" w:cs="Times New Roman" w:ascii="Times New Roman" w:hAnsi="Times New Roman"/>
          <w:b/>
          <w:i/>
          <w:sz w:val="24"/>
          <w:szCs w:val="24"/>
        </w:rPr>
      </w:pPr>
      <w:bookmarkStart w:id="2" w:name="_30j0zll"/>
      <w:bookmarkEnd w:id="2"/>
      <w:r>
        <w:rPr>
          <w:rFonts w:eastAsia="Times New Roman" w:cs="Times New Roman" w:ascii="Times New Roman" w:hAnsi="Times New Roman"/>
          <w:b/>
          <w:sz w:val="24"/>
          <w:szCs w:val="24"/>
        </w:rPr>
        <w:t xml:space="preserve">ART. 5 </w:t>
      </w:r>
      <w:r>
        <w:rPr>
          <w:rFonts w:eastAsia="Times New Roman" w:cs="Times New Roman" w:ascii="Times New Roman" w:hAnsi="Times New Roman"/>
          <w:b/>
          <w:i/>
          <w:sz w:val="24"/>
          <w:szCs w:val="24"/>
        </w:rPr>
        <w:t>(Spettacoli aperti al pubblico ed eventi sportivi)</w:t>
      </w:r>
    </w:p>
    <w:p>
      <w:pPr>
        <w:pStyle w:val="Normal"/>
        <w:keepLines/>
        <w:tabs>
          <w:tab w:val="left" w:pos="288" w:leader="none"/>
          <w:tab w:val="left" w:pos="648" w:leader="none"/>
        </w:tabs>
        <w:spacing w:lineRule="auto" w:line="240" w:before="280" w:after="0"/>
        <w:jc w:val="both"/>
        <w:rPr>
          <w:rFonts w:eastAsia="Times New Roman" w:cs="Times New Roman" w:ascii="Times New Roman" w:hAnsi="Times New Roman"/>
          <w:color w:val="000000"/>
          <w:sz w:val="24"/>
          <w:szCs w:val="24"/>
        </w:rPr>
      </w:pPr>
      <w:r>
        <w:rPr>
          <w:rFonts w:eastAsia="Times New Roman" w:cs="Times New Roman" w:ascii="Times New Roman" w:hAnsi="Times New Roman"/>
          <w:sz w:val="24"/>
          <w:szCs w:val="24"/>
        </w:rPr>
        <w:t xml:space="preserve">Con riferimento al comma 1, la norma prevede che in zona gialla gli spettacoli aperti al pubblico in sale teatrali, sale da concerto, sale cinematografiche, </w:t>
      </w:r>
      <w:r>
        <w:rPr>
          <w:rFonts w:eastAsia="Times New Roman" w:cs="Times New Roman" w:ascii="Times New Roman" w:hAnsi="Times New Roman"/>
          <w:i/>
          <w:sz w:val="24"/>
          <w:szCs w:val="24"/>
        </w:rPr>
        <w:t>live-club</w:t>
      </w:r>
      <w:r>
        <w:rPr>
          <w:rFonts w:eastAsia="Times New Roman" w:cs="Times New Roman" w:ascii="Times New Roman" w:hAnsi="Times New Roman"/>
          <w:sz w:val="24"/>
          <w:szCs w:val="24"/>
        </w:rPr>
        <w:t xml:space="preserve"> e in altri locali o spazi anche all’aperto sono svolti esclusivamente con posti a sedere preassegnati e a condizione che sia assicurato il rispetto della distanza interpersonale di almeno un metro sia per gli spettatori che non siano abitualmente conviventi, sia per il personale. </w:t>
      </w:r>
      <w:r>
        <w:rPr>
          <w:rFonts w:eastAsia="Times New Roman" w:cs="Times New Roman" w:ascii="Times New Roman" w:hAnsi="Times New Roman"/>
          <w:color w:val="000000"/>
          <w:sz w:val="24"/>
          <w:szCs w:val="24"/>
        </w:rPr>
        <w:t xml:space="preserve">Restano sospesi gli spettacoli ove non sia possibile assicurare le predette condizioni, nonché le attività che abbiano luogo in sale da ballo, discoteche e locali assimilati all’aperto e al chiuso, in tal modo chiarendo che la riapertura dei </w:t>
      </w:r>
      <w:r>
        <w:rPr>
          <w:rFonts w:eastAsia="Times New Roman" w:cs="Times New Roman" w:ascii="Times New Roman" w:hAnsi="Times New Roman"/>
          <w:i/>
          <w:color w:val="000000"/>
          <w:sz w:val="24"/>
          <w:szCs w:val="24"/>
        </w:rPr>
        <w:t>live-club</w:t>
      </w:r>
      <w:r>
        <w:rPr>
          <w:rFonts w:eastAsia="Times New Roman" w:cs="Times New Roman" w:ascii="Times New Roman" w:hAnsi="Times New Roman"/>
          <w:color w:val="000000"/>
          <w:sz w:val="24"/>
          <w:szCs w:val="24"/>
        </w:rPr>
        <w:t xml:space="preserve"> non include quella di sale da ballo e discoteche.</w:t>
      </w:r>
    </w:p>
    <w:p>
      <w:pPr>
        <w:pStyle w:val="Normal"/>
        <w:spacing w:lineRule="auto" w:line="240" w:before="0" w:after="0"/>
        <w:jc w:val="both"/>
        <w:rPr>
          <w:rFonts w:eastAsia="Times New Roman"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La norma dispone altresì che la capienza consentita non può essere superiore al 50 per cento </w:t>
      </w:r>
      <w:r>
        <w:rPr>
          <w:rFonts w:eastAsia="Times New Roman" w:cs="Times New Roman" w:ascii="Times New Roman" w:hAnsi="Times New Roman"/>
          <w:sz w:val="24"/>
          <w:szCs w:val="24"/>
        </w:rPr>
        <w:t>di quella massima autorizzata</w:t>
      </w:r>
      <w:r>
        <w:rPr>
          <w:rFonts w:eastAsia="Times New Roman" w:cs="Times New Roman" w:ascii="Times New Roman" w:hAnsi="Times New Roman"/>
          <w:color w:val="000000"/>
          <w:sz w:val="24"/>
          <w:szCs w:val="24"/>
        </w:rPr>
        <w:t xml:space="preserve"> e il numero massimo di spettatori non può essere superiore a 1.000 per gli spettacoli all'aperto e a 500 per gli spettacoli in luoghi chiusi per ogni singola sala. Si prevede altresì che le attività devono svolgersi nel rispetto delle linee guida (allegati 26 e 27 del DPCM del 2 marzo 2021)</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Le predette disposizioni, ai sensi del comma 2, si applicano dal 1° giugno 2021, sempre in zona gialla, anche agli eventi e alle competizioni di livello agonistico e riconosciuti di preminente interesse nazionale con provvedimento del Comitato olimpico nazionale italiano (CONI) e del Comitato italiano paralimpico (CIP), riguardanti gli sport individuali e di squadra, organizzati dalle rispettive federazioni sportive nazionali, discipline sportive associate, enti di promozione sportiva ovvero da organismi sportivi internazionali, con la precisazione che la capienza consentita non può essere superiore al 25 per cento di quella massima autorizzata e, comunque, il numero massimo di spettatori non può essere superiore a 1.000 per impianti all'aperto e a 500 per impianti al chiuso. Le percentuali di pubblico ammesse, nonché i limiti massimi di capienza sono tali da garantire un efficacie distanziamento sia all’interno degli impianti sportivi sia dei citati locali aperti al pubblico, nonché di evitare assembramenti all’esterno e nelle strutture ricettive annesse. Inoltre, i numeri limitati consentirebbero, in ogni evenienza, un efficace tracciamento degli eventuali contagi. Le attività devono svolgersi nel rispetto delle linee guida adottate dalla Presidenza del Consiglio dei ministri – Dipartimento per lo sport, sentita la Federazione medico sportiva italiana (FMSI).</w:t>
      </w:r>
    </w:p>
    <w:p>
      <w:pPr>
        <w:pStyle w:val="Normal"/>
        <w:tabs>
          <w:tab w:val="left" w:pos="288" w:leader="none"/>
          <w:tab w:val="left" w:pos="648" w:leader="none"/>
        </w:tabs>
        <w:spacing w:lineRule="auto" w:line="240" w:before="280" w:after="0"/>
        <w:jc w:val="both"/>
        <w:rPr>
          <w:rFonts w:eastAsia="Times New Roman" w:cs="Times New Roman" w:ascii="Times New Roman" w:hAnsi="Times New Roman"/>
          <w:color w:val="000000"/>
          <w:sz w:val="24"/>
          <w:szCs w:val="24"/>
        </w:rPr>
      </w:pPr>
      <w:r>
        <w:rPr>
          <w:rFonts w:eastAsia="Times New Roman" w:cs="Times New Roman" w:ascii="Times New Roman" w:hAnsi="Times New Roman"/>
          <w:color w:val="000000"/>
          <w:sz w:val="24"/>
          <w:szCs w:val="24"/>
        </w:rPr>
        <w:t>Il comma 3 prevede che per gli eventi e le competizioni all’aperto di cui ai commi 1 (spettacoli) e 2 (eventi sportivi), in relazione all’andamento della situazione epidemiologica e alle caratteristiche dei siti e degli eventi stessi, può essere stabilito un diverso numero massimo di spettatori, nel rispetto dei principi fissati dal CTS e di linee guida idonee a prevenire o ridurre il rischio di contagio, adottate dalla Conferenza delle Regioni o delle Province autonome per gli spettacoli di cui al comma 1 o dall’autorità delegata in materia di sport per gli eventi sportivi di cui al comma 2. Le predette linee guida possono prevedere altresì, in relazione a particolari eventi, che l’accesso sia riservato soltanto ai soggetti in possesso del certificato verde di cui all’articolo 10, ossia certificazioni comprovanti l’avvenuta vaccinazione, la guarigione da SARS-CoV-2 o l’effettuazione di un test molecolare o antigenico rapido con risultato negativo.</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ind w:left="1065" w:right="0" w:hanging="1065"/>
        <w:rPr>
          <w:rFonts w:eastAsia="Times New Roman" w:cs="Times New Roman" w:ascii="Times New Roman" w:hAnsi="Times New Roman"/>
          <w:b/>
          <w:i/>
          <w:sz w:val="24"/>
          <w:szCs w:val="24"/>
        </w:rPr>
      </w:pPr>
      <w:r>
        <w:rPr>
          <w:rFonts w:eastAsia="Times New Roman" w:cs="Times New Roman" w:ascii="Times New Roman" w:hAnsi="Times New Roman"/>
          <w:b/>
          <w:sz w:val="24"/>
          <w:szCs w:val="24"/>
        </w:rPr>
        <w:t xml:space="preserve">ART. 6 </w:t>
      </w:r>
      <w:r>
        <w:rPr>
          <w:rFonts w:eastAsia="Times New Roman" w:cs="Times New Roman" w:ascii="Times New Roman" w:hAnsi="Times New Roman"/>
          <w:b/>
          <w:i/>
          <w:sz w:val="24"/>
          <w:szCs w:val="24"/>
        </w:rPr>
        <w:t>(Piscine, palestre e sport di squadra)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In conformità con le linee programmatiche del Governo, nelle zone gialle viene pianificata la ripresa dell’attività sportiva di base e amatoriale, nonché la riapertura degli impianti sportivi: piscine, palestre, centri e circoli sportivi.</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Al comma 1, dal 15 maggio, viene prevista la riapertura delle piscine all’aperto, previo rispetto dei protocolli di sicurezza emanati dalle autorità competenti in materia.  </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Al comma 2, dal 1° giugno, viene prevista la riapertura delle palestre, sempre nel rispetto dei protocolli emanati dalle autorità competenti. </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Al comma 3, dal 26 aprile, viene prevista la ripresa di ogni attività sportiva all’aperto, compresi gli sport di contatto e di squadra, anche a livello amatoriale, sempre ne rispetto delle linee guida vigenti in materia. Resta fermo il divieto di utilizzo degli spogliatoi, in analogia con la persistente chiusura delle infrastrutture sportive al chiuso, se non diversamente stabilito dalle linee guida. </w:t>
      </w:r>
    </w:p>
    <w:p>
      <w:pPr>
        <w:pStyle w:val="Normal"/>
        <w:spacing w:lineRule="auto" w:line="240" w:before="0" w:after="0"/>
        <w:ind w:left="1065"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t>ART. 7 (</w:t>
      </w:r>
      <w:r>
        <w:rPr>
          <w:rFonts w:eastAsia="Times New Roman" w:cs="Times New Roman" w:ascii="Times New Roman" w:hAnsi="Times New Roman"/>
          <w:b/>
          <w:i/>
          <w:sz w:val="24"/>
          <w:szCs w:val="24"/>
        </w:rPr>
        <w:t>Fiere, convegni e congressi)</w:t>
      </w:r>
      <w:r>
        <w:rPr>
          <w:rFonts w:eastAsia="Times New Roman" w:cs="Times New Roman" w:ascii="Times New Roman" w:hAnsi="Times New Roman"/>
          <w:b/>
          <w:sz w:val="24"/>
          <w:szCs w:val="24"/>
        </w:rPr>
        <w:t xml:space="preserve"> </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 disposizione</w:t>
      </w:r>
      <w:r>
        <w:rPr>
          <w:rFonts w:eastAsia="Times New Roman" w:cs="Times New Roman" w:ascii="Times New Roman" w:hAnsi="Times New Roman"/>
          <w:color w:val="000000"/>
          <w:sz w:val="24"/>
          <w:szCs w:val="24"/>
        </w:rPr>
        <w:t xml:space="preserve"> consente, nel quadro dell’emergenza pandemica, </w:t>
      </w:r>
      <w:r>
        <w:rPr>
          <w:rFonts w:eastAsia="Times New Roman" w:cs="Times New Roman" w:ascii="Times New Roman" w:hAnsi="Times New Roman"/>
          <w:sz w:val="24"/>
          <w:szCs w:val="24"/>
        </w:rPr>
        <w:t>in zona gialla</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dal 15 giugno 2021, lo svolgimento in presenza di fiere, ferma restando la possibilità di svolgere, anche in data anteriore, attività preparatorie che non prevedono afflusso di pubblico.</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È riaffermata la necessità del </w:t>
      </w:r>
      <w:r>
        <w:rPr>
          <w:rFonts w:eastAsia="Times New Roman" w:cs="Times New Roman" w:ascii="Times New Roman" w:hAnsi="Times New Roman"/>
          <w:color w:val="000000"/>
          <w:sz w:val="24"/>
          <w:szCs w:val="24"/>
        </w:rPr>
        <w:t xml:space="preserve">rispetto di protocolli e linee guida </w:t>
      </w:r>
      <w:r>
        <w:rPr>
          <w:rFonts w:eastAsia="Times New Roman" w:cs="Times New Roman" w:ascii="Times New Roman" w:hAnsi="Times New Roman"/>
          <w:sz w:val="24"/>
          <w:szCs w:val="24"/>
        </w:rPr>
        <w:t>adottati ai sensi dell’articolo 1, comma 14, del decreto-legge n. 33 del 2020; le linee guida possono prevedere, con riferimento a particolari eventi, che l’accesso sia riservato soltanto ai soggetti in possesso del certificato verde di cui all’articolo 9.</w:t>
      </w:r>
      <w:r>
        <w:rPr>
          <w:rFonts w:eastAsia="Times New Roman" w:cs="Times New Roman" w:ascii="Times New Roman" w:hAnsi="Times New Roman"/>
          <w:color w:val="000000"/>
          <w:sz w:val="24"/>
          <w:szCs w:val="24"/>
        </w:rPr>
        <w:t xml:space="preserve"> È inoltre consentito l’</w:t>
      </w:r>
      <w:r>
        <w:rPr>
          <w:rFonts w:eastAsia="Times New Roman" w:cs="Times New Roman" w:ascii="Times New Roman" w:hAnsi="Times New Roman"/>
          <w:sz w:val="24"/>
          <w:szCs w:val="24"/>
        </w:rPr>
        <w:t>ingresso nel territorio nazionale per partecipare a fiere, fermi restando gli obblighi previsti in relazione al territorio estero di provenienza.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Dal 1° luglio 2021, in zona gialla, sono altresì consentiti i convegni e i congressi,</w:t>
      </w:r>
      <w:r>
        <w:rPr>
          <w:rFonts w:eastAsia="Times New Roman" w:cs="Times New Roman" w:ascii="Times New Roman" w:hAnsi="Times New Roman"/>
          <w:color w:val="000000"/>
          <w:sz w:val="24"/>
          <w:szCs w:val="24"/>
        </w:rPr>
        <w:t xml:space="preserve"> nel rispetto comunque di protocolli e linee guida </w:t>
      </w:r>
      <w:r>
        <w:rPr>
          <w:rFonts w:eastAsia="Times New Roman" w:cs="Times New Roman" w:ascii="Times New Roman" w:hAnsi="Times New Roman"/>
          <w:sz w:val="24"/>
          <w:szCs w:val="24"/>
        </w:rPr>
        <w:t>adottati ai sensi dell’articolo 1, comma 14, del decreto-legge n. 33 del 2020.</w:t>
      </w:r>
    </w:p>
    <w:p>
      <w:pPr>
        <w:pStyle w:val="Normal"/>
        <w:spacing w:lineRule="auto" w:line="240" w:before="0" w:after="0"/>
        <w:jc w:val="both"/>
        <w:rPr>
          <w:rFonts w:eastAsia="Times New Roman" w:cs="Times New Roman" w:ascii="Times New Roman" w:hAnsi="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rPr>
          <w:rFonts w:eastAsia="Times New Roman" w:cs="Times New Roman" w:ascii="Times New Roman" w:hAnsi="Times New Roman"/>
          <w:b/>
          <w:i/>
          <w:sz w:val="24"/>
          <w:szCs w:val="24"/>
        </w:rPr>
      </w:pPr>
      <w:r>
        <w:rPr>
          <w:rFonts w:eastAsia="Times New Roman" w:cs="Times New Roman" w:ascii="Times New Roman" w:hAnsi="Times New Roman"/>
          <w:b/>
          <w:sz w:val="24"/>
          <w:szCs w:val="24"/>
        </w:rPr>
        <w:t xml:space="preserve">ART. 8 </w:t>
      </w:r>
      <w:r>
        <w:rPr>
          <w:rFonts w:eastAsia="Times New Roman" w:cs="Times New Roman" w:ascii="Times New Roman" w:hAnsi="Times New Roman"/>
          <w:b/>
          <w:i/>
          <w:sz w:val="24"/>
          <w:szCs w:val="24"/>
        </w:rPr>
        <w:t>(Centri termali e parchi tematici e di divertimento)</w:t>
      </w:r>
    </w:p>
    <w:p>
      <w:pPr>
        <w:pStyle w:val="Normal"/>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sz w:val="24"/>
          <w:szCs w:val="24"/>
          <w:highlight w:val="yellow"/>
        </w:rPr>
      </w:pPr>
      <w:r>
        <w:rPr>
          <w:rFonts w:eastAsia="Times New Roman" w:cs="Times New Roman" w:ascii="Times New Roman" w:hAnsi="Times New Roman"/>
          <w:sz w:val="24"/>
          <w:szCs w:val="24"/>
        </w:rPr>
        <w:t>In base a quanto disposto dall’articolo 8</w:t>
      </w:r>
      <w:r>
        <w:rPr>
          <w:rFonts w:eastAsia="Times New Roman" w:cs="Times New Roman" w:ascii="Times New Roman" w:hAnsi="Times New Roman"/>
          <w:color w:val="000000"/>
          <w:sz w:val="24"/>
          <w:szCs w:val="24"/>
        </w:rPr>
        <w:t xml:space="preserve">, nel quadro dell’emergenza pandemica, </w:t>
      </w:r>
      <w:r>
        <w:rPr>
          <w:rFonts w:eastAsia="Times New Roman" w:cs="Times New Roman" w:ascii="Times New Roman" w:hAnsi="Times New Roman"/>
          <w:sz w:val="24"/>
          <w:szCs w:val="24"/>
        </w:rPr>
        <w:t>sono consentite in zona gialla, dal 1° luglio 2021, anche le attività dei centri termali e dei parchi tematici e di divertimento, sempre nel rispetto di protocolli e linee guida adottati ai sensi dell’articolo 1, comma 14, del decreto-legge n. 33 del 2020. Resta ferma l’attività dei centri termali adibiti a presidio sanitario limitatamente all’erogazione delle prestazioni rientranti nei livelli essenziali di assistenza e per le attività riabilitative e terapeutiche</w:t>
      </w:r>
      <w:r>
        <w:rPr>
          <w:rFonts w:eastAsia="Times New Roman" w:cs="Times New Roman" w:ascii="Times New Roman" w:hAnsi="Times New Roman"/>
          <w:color w:val="1F497D"/>
          <w:sz w:val="24"/>
          <w:szCs w:val="24"/>
        </w:rPr>
        <w:t xml:space="preserve"> </w:t>
      </w:r>
      <w:r>
        <w:rPr>
          <w:rFonts w:eastAsia="Times New Roman" w:cs="Times New Roman" w:ascii="Times New Roman" w:hAnsi="Times New Roman"/>
          <w:sz w:val="24"/>
          <w:szCs w:val="24"/>
        </w:rPr>
        <w:t>secondo quanto già previsto dal vigente dPCm 2 marzo 2021</w:t>
      </w:r>
      <w:r>
        <w:rPr>
          <w:rFonts w:eastAsia="Times New Roman" w:cs="Times New Roman" w:ascii="Times New Roman" w:hAnsi="Times New Roman"/>
          <w:sz w:val="24"/>
          <w:szCs w:val="24"/>
          <w:highlight w:val="yellow"/>
        </w:rPr>
        <w:t>.</w:t>
      </w:r>
    </w:p>
    <w:p>
      <w:pPr>
        <w:pStyle w:val="Normal"/>
        <w:spacing w:lineRule="auto" w:line="240" w:before="0" w:after="0"/>
        <w:rPr>
          <w:rFonts w:eastAsia="Times New Roman" w:cs="Times New Roman" w:ascii="Times New Roman" w:hAnsi="Times New Roman"/>
          <w:b/>
          <w:i/>
          <w:sz w:val="24"/>
          <w:szCs w:val="24"/>
        </w:rPr>
      </w:pPr>
      <w:r>
        <w:rPr>
          <w:rFonts w:eastAsia="Times New Roman" w:cs="Times New Roman" w:ascii="Times New Roman" w:hAnsi="Times New Roman"/>
          <w:b/>
          <w:i/>
          <w:sz w:val="24"/>
          <w:szCs w:val="24"/>
        </w:rPr>
      </w:r>
    </w:p>
    <w:p>
      <w:pPr>
        <w:pStyle w:val="Normal"/>
        <w:spacing w:lineRule="auto" w:line="240" w:before="0" w:after="0"/>
        <w:rPr>
          <w:rFonts w:eastAsia="Times New Roman" w:cs="Times New Roman" w:ascii="Times New Roman" w:hAnsi="Times New Roman"/>
          <w:b/>
          <w:i/>
          <w:sz w:val="24"/>
          <w:szCs w:val="24"/>
        </w:rPr>
      </w:pPr>
      <w:bookmarkStart w:id="3" w:name="_1fob9te"/>
      <w:bookmarkEnd w:id="3"/>
      <w:r>
        <w:rPr>
          <w:rFonts w:eastAsia="Times New Roman" w:cs="Times New Roman" w:ascii="Times New Roman" w:hAnsi="Times New Roman"/>
          <w:b/>
          <w:sz w:val="24"/>
          <w:szCs w:val="24"/>
        </w:rPr>
        <w:t xml:space="preserve">ART. 9 </w:t>
      </w:r>
      <w:r>
        <w:rPr>
          <w:rFonts w:eastAsia="Times New Roman" w:cs="Times New Roman" w:ascii="Times New Roman" w:hAnsi="Times New Roman"/>
          <w:b/>
          <w:i/>
          <w:sz w:val="24"/>
          <w:szCs w:val="24"/>
        </w:rPr>
        <w:t>(Certificazioni verdi Covid-19)</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La disposizione prevede regole per l’anticipazione in sede nazionale del cd. </w:t>
      </w:r>
      <w:r>
        <w:rPr>
          <w:rFonts w:eastAsia="Times New Roman" w:cs="Times New Roman" w:ascii="Times New Roman" w:hAnsi="Times New Roman"/>
          <w:i/>
          <w:sz w:val="24"/>
          <w:szCs w:val="24"/>
        </w:rPr>
        <w:t>green pass</w:t>
      </w:r>
      <w:r>
        <w:rPr>
          <w:rFonts w:eastAsia="Times New Roman" w:cs="Times New Roman" w:ascii="Times New Roman" w:hAnsi="Times New Roman"/>
          <w:sz w:val="24"/>
          <w:szCs w:val="24"/>
        </w:rPr>
        <w:t xml:space="preserve"> in corso di definizione in ambito europeo. Lo strumento rappresenta, per i titolari, una modalità per agevolare la ripresa degli spostamenti e delle attività sospese a causa della pandemia.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La certificazione riguarda tre diverse fattispecie: i certificati di guarigione (che hanno una validità di 6 mesi dalla guarigione stessa), i certificati di avvenuta vaccinazione (che hanno una validità di sei mesi dal completamento del ciclo vaccinale) e i certificati che attestano l’esito negativo di un tampone (nelle 48 ore dall’effettuazione del test). </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Le certificazioni sono rilasciate in formato cartaceo o digitale in conformità al modello allegato al decreto-legge in attesa del dPCm di cui al comma 10 che ne prevedrà le modalità di rilascio con modalità digitale avanzata (interoperabile e munita di codice a barre). Con il medesimo dPCm sono indicati anche i dati che possono essere riportati nelle certificazioni verdi COVID-19, le modalità di aggiornamento delle certificazioni, le caratteristiche e le modalità di funzionamento della Piattaforma nazionale -DCG, la struttura dell'identificativo univoco delle certificazioni verdi COVID-19 e del codice a barre interoperabile che consente di verificare l’autenticità, la validità e l’integrità delle stesse, l’indicazione dei soggetti deputati al controllo delle certificazioni, i tempi di conservazione dei dati raccolti ai fini dell’emissione delle certificazioni, e le misure per assicurare la protezione dei dati personali contenuti nelle certificazioni.</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Ove il certificato attesti l’avvenuta guarigione o il completamento del ciclo vaccinale, esso è inserito nel fascicolo sanitario della persona interessata.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Inoltre al comma 8 si prevede il riconoscimento delle certificazioni verdi COVID-19 rilasciate in conformità al diritto vigente negli Stati membri dell’Unione europea ove esse siano conformi ai criteri definiti con circolare del Ministero della salute. Allo stesso modo, le certificazioni rilasciate in uno Stato terzo a seguito di una vaccinazione riconosciuta nell’Unione europea e validate da uno Stato membro dell’Unione, sono riconosciute se conformi ai criteri definiti con circolare del Ministero della salute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È prevista, infine, al comma 9, una clausola di cedevolezza rispetto alle disposizioni europee </w:t>
      </w:r>
      <w:r>
        <w:rPr>
          <w:rFonts w:eastAsia="Times New Roman" w:cs="Times New Roman" w:ascii="Times New Roman" w:hAnsi="Times New Roman"/>
          <w:i/>
          <w:sz w:val="24"/>
          <w:szCs w:val="24"/>
        </w:rPr>
        <w:t>de iure condendo</w:t>
      </w:r>
      <w:r>
        <w:rPr>
          <w:rFonts w:eastAsia="Times New Roman" w:cs="Times New Roman" w:ascii="Times New Roman" w:hAnsi="Times New Roman"/>
          <w:sz w:val="24"/>
          <w:szCs w:val="24"/>
        </w:rPr>
        <w:t>.</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ART. 10 (</w:t>
      </w:r>
      <w:r>
        <w:rPr>
          <w:rFonts w:eastAsia="Times New Roman" w:cs="Times New Roman" w:ascii="Times New Roman" w:hAnsi="Times New Roman"/>
          <w:b/>
          <w:i/>
          <w:sz w:val="24"/>
          <w:szCs w:val="24"/>
        </w:rPr>
        <w:t>Modifiche al decreto-legge 5 marzo 2020, n. 19 e al decreto-legge 16 maggio 2020, n. 33</w:t>
      </w:r>
      <w:r>
        <w:rPr>
          <w:rFonts w:eastAsia="Times New Roman" w:cs="Times New Roman" w:ascii="Times New Roman" w:hAnsi="Times New Roman"/>
          <w:b/>
          <w:sz w:val="24"/>
          <w:szCs w:val="24"/>
        </w:rPr>
        <w:t>)</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L’articolo provvede a coordinare i termini che consentono di adottare provvedimenti di contenimento dell’emergenza ai sensi dei decreti-legge n. 19 del 2020 e n. 33 del 2020 con il nuovo termine del 31 luglio 2021 di durata dello stato di emergenza. </w:t>
      </w:r>
    </w:p>
    <w:p>
      <w:pPr>
        <w:pStyle w:val="Normal"/>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spacing w:lineRule="auto" w:line="240" w:before="0" w:after="0"/>
        <w:rPr>
          <w:rFonts w:eastAsia="Times New Roman" w:cs="Times New Roman" w:ascii="Times New Roman" w:hAnsi="Times New Roman"/>
          <w:b/>
          <w:i/>
          <w:sz w:val="24"/>
          <w:szCs w:val="24"/>
        </w:rPr>
      </w:pPr>
      <w:r>
        <w:rPr>
          <w:rFonts w:eastAsia="Times New Roman" w:cs="Times New Roman" w:ascii="Times New Roman" w:hAnsi="Times New Roman"/>
          <w:b/>
          <w:sz w:val="24"/>
          <w:szCs w:val="24"/>
        </w:rPr>
        <w:t xml:space="preserve">ART.  11 </w:t>
      </w:r>
      <w:r>
        <w:rPr>
          <w:rFonts w:eastAsia="Times New Roman" w:cs="Times New Roman" w:ascii="Times New Roman" w:hAnsi="Times New Roman"/>
          <w:b/>
          <w:i/>
          <w:sz w:val="24"/>
          <w:szCs w:val="24"/>
        </w:rPr>
        <w:t>(Proroga dei termini correlati con lo stato di emergenza epidemiologica da COVID-19)</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 disposizione prevede la proroga, fino al 31 luglio 2021, data di cessazione dello stato di emergenza epidemiologica da COVlD-19, dei termini stabiliti dalle disposizioni legislative tassativamente elencate nell'allegato 2 annesso al decreto (si vedano le relazioni sulle suddette disposizioni contenute in calce alla presente relazione).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rPr>
          <w:rFonts w:eastAsia="Times New Roman" w:cs="Times New Roman" w:ascii="Times New Roman" w:hAnsi="Times New Roman"/>
          <w:b/>
          <w:i/>
          <w:sz w:val="24"/>
          <w:szCs w:val="24"/>
        </w:rPr>
      </w:pPr>
      <w:r>
        <w:rPr>
          <w:rFonts w:eastAsia="Times New Roman" w:cs="Times New Roman" w:ascii="Times New Roman" w:hAnsi="Times New Roman"/>
          <w:b/>
          <w:sz w:val="24"/>
          <w:szCs w:val="24"/>
        </w:rPr>
        <w:t xml:space="preserve">ART. 12 </w:t>
      </w:r>
      <w:r>
        <w:rPr>
          <w:rFonts w:eastAsia="Times New Roman" w:cs="Times New Roman" w:ascii="Times New Roman" w:hAnsi="Times New Roman"/>
          <w:b/>
          <w:i/>
          <w:sz w:val="24"/>
          <w:szCs w:val="24"/>
        </w:rPr>
        <w:t>(Misura in materia di trasporto aereo di linea di passeggeri)</w:t>
      </w:r>
    </w:p>
    <w:p>
      <w:pPr>
        <w:pStyle w:val="Normal"/>
        <w:keepNext/>
        <w:keepLines w:val="false"/>
        <w:widowControl/>
        <w:pBdr>
          <w:top w:val="nil"/>
          <w:left w:val="nil"/>
          <w:bottom w:val="nil"/>
          <w:right w:val="nil"/>
        </w:pBdr>
        <w:shd w:fill="FFFFFF" w:val="clear"/>
        <w:spacing w:lineRule="auto" w:line="259" w:before="0" w:after="0"/>
        <w:ind w:left="0" w:right="0" w:hanging="0"/>
        <w:jc w:val="both"/>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L’articolo, aggiungendo un periodo all’articolo 85, comma 5, del decreto-legge 14 agosto 2020 n. 104 è diretta a chiarire che le anticipazioni nell’ambito della procedura diretta all’erogazione degli indennizzi ivi contemplata seguono le modalità di calcolo degli indennizzi e pertanto sono determinate sulla base della riduzione dei ricavi lordi conseguente alle misure di contenimento e di contrasto all'emergenza da COVID-19, al netto dei costi cessanti connessi alla riduzione dell'offerta di voli e dei minori costi di esercizio derivanti dagli ammortizzatori sociali applicati, nonché degli ulteriori parametri individuati sulla base del decreto previsto dall'articolo 79, comma 2, del decreto legge 17 marzo 2020, n. 18, convertito, con modificazioni, dalla legge 24 aprile 2020, n. 2  (D.M. Mise 11/09/2020) e dei consolidati indirizzi adottati dalla Commissione europea.</w:t>
      </w:r>
    </w:p>
    <w:p>
      <w:pPr>
        <w:pStyle w:val="Normal"/>
        <w:keepNext/>
        <w:keepLines w:val="false"/>
        <w:widowControl/>
        <w:pBdr>
          <w:top w:val="nil"/>
          <w:left w:val="nil"/>
          <w:bottom w:val="nil"/>
          <w:right w:val="nil"/>
        </w:pBdr>
        <w:shd w:fill="FFFFFF" w:val="clear"/>
        <w:spacing w:lineRule="auto" w:line="259" w:before="0" w:after="0"/>
        <w:ind w:left="0" w:right="0" w:hanging="0"/>
        <w:jc w:val="both"/>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La norma riveste il carattere dell’urgenza in quanto la tempistica ordinaria della concessione degli indennizzi a seguito dell’approvazione della Commissione si è rivelata non compatibile con le esigenze di salvaguardia dell’operatività delle imprese  di trasporto aereo passeggeri e con gli obblighi di servizio pubblico alle quali le stesse sono sottoposte, e un chiarimento procedurale sulla circostanza che anche le anticipazioni sono erogate sulla base dei medesimi criteri previsti per gli indennizzi risulta funzionale all’effettività della norma e alla celere erogazione delle somme. </w:t>
      </w:r>
    </w:p>
    <w:p>
      <w:pPr>
        <w:pStyle w:val="Normal"/>
        <w:keepNext/>
        <w:keepLines w:val="false"/>
        <w:widowControl/>
        <w:pBdr>
          <w:top w:val="nil"/>
          <w:left w:val="nil"/>
          <w:bottom w:val="nil"/>
          <w:right w:val="nil"/>
        </w:pBdr>
        <w:shd w:fill="FFFFFF" w:val="clear"/>
        <w:spacing w:lineRule="auto" w:line="259" w:before="0" w:after="160"/>
        <w:ind w:left="0" w:right="0" w:hanging="0"/>
        <w:jc w:val="both"/>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La previsione di cui al comma 2 stabilisce che le somme iscritte nel conto dei residui per l’anno 2021 sul capitolo dello stato di previsione del Ministero dello sviluppo economico ai sensi all’articolo 79, comma 7, del decreto-legge 17 marzo 2020, n. 18 convertito in legge, con modificazioni, dalla legge 24 aprile 2020, n. 27, possano essere utilizzate nello stesso anno.</w:t>
      </w:r>
    </w:p>
    <w:p>
      <w:pPr>
        <w:pStyle w:val="Normal"/>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spacing w:lineRule="auto" w:line="240" w:before="0" w:after="0"/>
        <w:rPr>
          <w:rFonts w:eastAsia="Times New Roman" w:cs="Times New Roman" w:ascii="Times New Roman" w:hAnsi="Times New Roman"/>
          <w:b/>
          <w:i/>
          <w:sz w:val="24"/>
          <w:szCs w:val="24"/>
        </w:rPr>
      </w:pPr>
      <w:r>
        <w:rPr>
          <w:rFonts w:eastAsia="Times New Roman" w:cs="Times New Roman" w:ascii="Times New Roman" w:hAnsi="Times New Roman"/>
          <w:b/>
          <w:sz w:val="24"/>
          <w:szCs w:val="24"/>
        </w:rPr>
        <w:t xml:space="preserve">ART. 13 </w:t>
      </w:r>
      <w:r>
        <w:rPr>
          <w:rFonts w:eastAsia="Times New Roman" w:cs="Times New Roman" w:ascii="Times New Roman" w:hAnsi="Times New Roman"/>
          <w:b/>
          <w:i/>
          <w:sz w:val="24"/>
          <w:szCs w:val="24"/>
        </w:rPr>
        <w:t>(Sanzioni)</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 norma prevede al comma 1 le sanzioni per le violazioni delle disposizioni di cui agli articoli da 1 a 8 del decreto, nonché dei provvedimenti e delle ordinanze adottati in attuazione del decreto medesimo, richiamando quelle di cui all’articolo 4 del decreto-legge n. 19 del 2020.</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Al comma 2 la disposizione prevede le sanzioni per le violazioni in materia di certificazioni verdi COVID-19, di cui all’articolo 9.</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rPr>
          <w:rFonts w:eastAsia="Times New Roman" w:cs="Times New Roman" w:ascii="Times New Roman" w:hAnsi="Times New Roman"/>
          <w:b/>
          <w:i/>
          <w:sz w:val="24"/>
          <w:szCs w:val="24"/>
        </w:rPr>
      </w:pPr>
      <w:r>
        <w:rPr>
          <w:rFonts w:eastAsia="Times New Roman" w:cs="Times New Roman" w:ascii="Times New Roman" w:hAnsi="Times New Roman"/>
          <w:b/>
          <w:sz w:val="24"/>
          <w:szCs w:val="24"/>
        </w:rPr>
        <w:t xml:space="preserve">ART. 14 </w:t>
      </w:r>
      <w:r>
        <w:rPr>
          <w:rFonts w:eastAsia="Times New Roman" w:cs="Times New Roman" w:ascii="Times New Roman" w:hAnsi="Times New Roman"/>
          <w:b/>
          <w:i/>
          <w:sz w:val="24"/>
          <w:szCs w:val="24"/>
        </w:rPr>
        <w:t>(Entrata in vigore)</w:t>
      </w:r>
    </w:p>
    <w:p>
      <w:pPr>
        <w:pStyle w:val="Normal"/>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La norma prevede l’entrata in vigore del provvedimento.</w:t>
      </w:r>
    </w:p>
    <w:p>
      <w:pPr>
        <w:pStyle w:val="Normal"/>
        <w:spacing w:lineRule="auto" w:line="240" w:before="0" w:after="0"/>
        <w:rPr>
          <w:rFonts w:eastAsia="Times New Roman" w:cs="Times New Roman" w:ascii="Times New Roman" w:hAnsi="Times New Roman"/>
          <w:b/>
          <w:i/>
          <w:sz w:val="24"/>
          <w:szCs w:val="24"/>
        </w:rPr>
      </w:pPr>
      <w:r>
        <w:rPr>
          <w:rFonts w:eastAsia="Times New Roman" w:cs="Times New Roman" w:ascii="Times New Roman" w:hAnsi="Times New Roman"/>
          <w:b/>
          <w:i/>
          <w:sz w:val="24"/>
          <w:szCs w:val="24"/>
        </w:rPr>
      </w:r>
    </w:p>
    <w:p>
      <w:pPr>
        <w:pStyle w:val="Normal"/>
        <w:spacing w:lineRule="auto" w:line="240" w:before="0" w:after="0"/>
        <w:rPr>
          <w:rFonts w:eastAsia="Times New Roman" w:cs="Times New Roman" w:ascii="Times New Roman" w:hAnsi="Times New Roman"/>
          <w:b/>
          <w:i/>
          <w:sz w:val="24"/>
          <w:szCs w:val="24"/>
        </w:rPr>
      </w:pPr>
      <w:r>
        <w:rPr>
          <w:rFonts w:eastAsia="Times New Roman" w:cs="Times New Roman" w:ascii="Times New Roman" w:hAnsi="Times New Roman"/>
          <w:b/>
          <w:i/>
          <w:sz w:val="24"/>
          <w:szCs w:val="24"/>
        </w:rPr>
      </w:r>
    </w:p>
    <w:p>
      <w:pPr>
        <w:pStyle w:val="Normal"/>
        <w:spacing w:lineRule="auto" w:line="240" w:before="0" w:after="0"/>
        <w:ind w:left="1775" w:right="0" w:hanging="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ILLUSTRAZIONE DELLE DISPOSIZIONI LEGISLATIVE</w:t>
      </w:r>
    </w:p>
    <w:p>
      <w:pPr>
        <w:pStyle w:val="Normal"/>
        <w:spacing w:lineRule="auto" w:line="240" w:before="0" w:after="0"/>
        <w:jc w:val="center"/>
        <w:rPr>
          <w:rFonts w:eastAsia="Times New Roman" w:cs="Times New Roman" w:ascii="Times New Roman" w:hAnsi="Times New Roman"/>
          <w:b/>
          <w:sz w:val="24"/>
          <w:szCs w:val="24"/>
        </w:rPr>
      </w:pPr>
      <w:r>
        <w:rPr>
          <w:rFonts w:eastAsia="Times New Roman" w:cs="Times New Roman" w:ascii="Times New Roman" w:hAnsi="Times New Roman"/>
          <w:b/>
          <w:sz w:val="24"/>
          <w:szCs w:val="24"/>
        </w:rPr>
        <w:t>DI CUI ALL'ALLEGATO 2</w:t>
      </w:r>
    </w:p>
    <w:p>
      <w:pPr>
        <w:pStyle w:val="Normal"/>
        <w:spacing w:lineRule="auto" w:line="240" w:before="0" w:after="0"/>
        <w:ind w:left="1775" w:right="0" w:hanging="0"/>
        <w:jc w:val="center"/>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1) Articolo 2-</w:t>
      </w:r>
      <w:r>
        <w:rPr>
          <w:rFonts w:eastAsia="Times New Roman" w:cs="Times New Roman" w:ascii="Times New Roman" w:hAnsi="Times New Roman"/>
          <w:b/>
          <w:i/>
          <w:sz w:val="24"/>
          <w:szCs w:val="24"/>
        </w:rPr>
        <w:t>bis</w:t>
      </w:r>
      <w:r>
        <w:rPr>
          <w:rFonts w:eastAsia="Times New Roman" w:cs="Times New Roman" w:ascii="Times New Roman" w:hAnsi="Times New Roman"/>
          <w:b/>
          <w:sz w:val="24"/>
          <w:szCs w:val="24"/>
        </w:rPr>
        <w:t>, comma 3, del decreto-legge 17 marzo 2020, n. 18, convertito, con modificazioni, dalla legge 24 aprile 2020, n. 27.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Conferimento di incarichi temporanei a laureati in medicina e chirurgia da parte delle aziende e degli enti del Servizio sanitario nazionale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 disposizione che si intende prorogare prevede il reclutamento di laureati in medicina generale e chirurgia, abilitati all’esercizio della professione medica e iscritti agli ordini professionali, attraverso il conferimento di incarichi di lavoro autonomo, anche di collaborazione coordinata e continuativa, di durata non superiore a sei mesi, prorogabili in ragione del perdurare dello stato di emergenza.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2)</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Articolo 5-</w:t>
      </w:r>
      <w:r>
        <w:rPr>
          <w:rFonts w:eastAsia="Times New Roman" w:cs="Times New Roman" w:ascii="Times New Roman" w:hAnsi="Times New Roman"/>
          <w:b/>
          <w:i/>
          <w:sz w:val="24"/>
          <w:szCs w:val="24"/>
        </w:rPr>
        <w:t>bis</w:t>
      </w:r>
      <w:r>
        <w:rPr>
          <w:rFonts w:eastAsia="Times New Roman" w:cs="Times New Roman" w:ascii="Times New Roman" w:hAnsi="Times New Roman"/>
          <w:b/>
          <w:sz w:val="24"/>
          <w:szCs w:val="24"/>
        </w:rPr>
        <w:t>, commi 1 e 3, del decreto-legge 17 marzo 2020, n. 18, convertito, con modificazioni, dalla legge 24 aprile 2020, n. 27.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Disposizioni finalizzate a facilitare l'acquisizione di dispositivi di protezione e medicali</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La disposizione autorizza il Dipartimento della protezione civile, i soggetti attuatori individuati dal Capo del Dipartimento della protezione civile e il Commissario straordinario </w:t>
      </w:r>
      <w:r>
        <w:rPr>
          <w:rFonts w:eastAsia="Times New Roman" w:cs="Times New Roman" w:ascii="Times New Roman" w:hAnsi="Times New Roman"/>
          <w:sz w:val="24"/>
          <w:szCs w:val="24"/>
          <w:highlight w:val="white"/>
        </w:rPr>
        <w:t>per l'attuazione e il coordinamento delle misure di contenimento e contrasto dell'emergenza epidemiologica COVID-19</w:t>
      </w:r>
      <w:r>
        <w:rPr>
          <w:rFonts w:eastAsia="Times New Roman" w:cs="Times New Roman" w:ascii="Times New Roman" w:hAnsi="Times New Roman"/>
          <w:sz w:val="24"/>
          <w:szCs w:val="24"/>
        </w:rPr>
        <w:t>, ad acquisire dispositivi di protezione individuali (DPI) e altri dispositivi medicali, nonché a disporre pagamenti anticipati dell'intera fornitura, in deroga al codice dei contratti pubblici. Al comma 3 si consente di far ricorso alle mascherine chirurgiche, quale dispositivo idoneo a proteggere gli operatori sanitari nonché la possibilità di utilizzare anche mascherine prive del marchio CE, previa valutazione da parte dell'Istituto superiore di sanità.</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3)</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Articolo 12, comma 2, del decreto-legge 17 marzo 2020, n. 18, convertito, con modificazioni, dalla legge 24 aprile 2020, n. 27.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Permanenza in servizio del personale sanitario</w:t>
      </w:r>
    </w:p>
    <w:p>
      <w:pPr>
        <w:pStyle w:val="Normal"/>
        <w:spacing w:lineRule="auto" w:line="240" w:before="0" w:after="0"/>
        <w:jc w:val="both"/>
        <w:rPr>
          <w:rFonts w:eastAsia="Times New Roman"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Fino alla cessazione dello stato di emergenza e comunque non oltre il 31 luglio 2021, si prevede la possibilità per il personale del ruolo dei medici e del settore sanitario della Polizia di Stato di essere trattenuto in servizio anche in deroga ai limiti previsti dalle disposizioni vigenti sul collocamento in quiescenza del personale del ruolo dei medici e del settore sanitario della Polizia di Stato. </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4)</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Articolo 15, comma 1, del decreto-legge 17 marzo 2020, n. 18, convertito, con modificazioni, dalla legge 24 aprile 2020, n. 27.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Disposizioni straordinarie per la produzione di mascherine chirurgiche e dispositivi di protezione individuale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 disposizione prevede la possibilità di produrre, importare e immettere in commercio mascherine chirurgiche e dispositivi di protezione individuale in deroga alle vigenti disposizioni, validati, rispettivamente dall'Istituto superiore di sanità e dall'INAIL.</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5)</w:t>
      </w:r>
      <w:r>
        <w:rPr/>
        <w:t xml:space="preserve"> </w:t>
      </w:r>
      <w:r>
        <w:rPr>
          <w:rFonts w:eastAsia="Times New Roman" w:cs="Times New Roman" w:ascii="Times New Roman" w:hAnsi="Times New Roman"/>
          <w:b/>
          <w:sz w:val="24"/>
          <w:szCs w:val="24"/>
        </w:rPr>
        <w:t>Articolo 17-</w:t>
      </w:r>
      <w:r>
        <w:rPr>
          <w:rFonts w:eastAsia="Times New Roman" w:cs="Times New Roman" w:ascii="Times New Roman" w:hAnsi="Times New Roman"/>
          <w:b/>
          <w:i/>
          <w:sz w:val="24"/>
          <w:szCs w:val="24"/>
        </w:rPr>
        <w:t>bis</w:t>
      </w:r>
      <w:r>
        <w:rPr>
          <w:rFonts w:eastAsia="Times New Roman" w:cs="Times New Roman" w:ascii="Times New Roman" w:hAnsi="Times New Roman"/>
          <w:b/>
          <w:sz w:val="24"/>
          <w:szCs w:val="24"/>
        </w:rPr>
        <w:t>, commi 1 e 6, del decreto-legge 17 marzo 2020, n. 18, convertito, con modificazioni, dalla legge 24 aprile 2020, n. 27.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Disposizioni sul trattamento dei dati personali nel contesto emergenziale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 disposizione prevede la possibilità, per motivi di interesse pubblico nel settore della sanità pubblica e, in particolare, per garantire la protezione dall'emergenza sanitaria a carattere transfrontaliero determinata dalla diffusione del COVID-19 mediante adeguate misure di profilassi, nonché per assicurare la diagnosi e l'assistenza sanitaria dei contagiati ovvero la gestione emergenziale del Servizio sanitario nazionale, per i soggetti operanti nel Servizio nazionale della protezione civile, per i soggetti attuatori nonché per gli uffici del Ministero della salute e dell'Istituto superiore di sanità, per le strutture pubbliche e private del Servizio sanitario nazionale e per i soggetti deputati a monitorare e a garantire l'esecuzione delle misure di contenimento, di effettuare trattamenti dei dati personali, ivi inclusa la comunicazione tra loro, che risultino necessari all'espletamento delle funzioni ad essi attribuite nell'ambito dell'emergenza determinata dal diffondersi del COVID-19.</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Al termine dello stato di emergenza, tali soggetti dovranno in ogni caso adottare misure idonee a ricondurre i trattamenti di dati personali effettuati nel contesto dell'emergenza all'ambito delle ordinarie competenze e delle regole che disciplinano i trattamenti di dati personali.</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6)</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Articolo 73 del decreto-legge 17 marzo 2020, n. 18, convertito, con modificazioni, dalla legge 24 aprile 2020, n. 27.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Semplificazioni in materia di organi collegiali</w:t>
      </w:r>
    </w:p>
    <w:p>
      <w:pPr>
        <w:pStyle w:val="Normal"/>
        <w:shd w:fill="FFFFFF" w:val="clear"/>
        <w:spacing w:lineRule="auto" w:line="240" w:before="0" w:after="0"/>
        <w:jc w:val="both"/>
        <w:rPr>
          <w:rFonts w:eastAsia="Times New Roman" w:cs="Times New Roman" w:ascii="Times New Roman" w:hAnsi="Times New Roman"/>
          <w:color w:val="000000"/>
          <w:sz w:val="24"/>
          <w:szCs w:val="24"/>
        </w:rPr>
      </w:pPr>
      <w:r>
        <w:rPr>
          <w:rFonts w:eastAsia="Times New Roman" w:cs="Times New Roman" w:ascii="Times New Roman" w:hAnsi="Times New Roman"/>
          <w:color w:val="000000"/>
          <w:sz w:val="24"/>
          <w:szCs w:val="24"/>
        </w:rPr>
        <w:t>Fino alla cessazione dello stato di emergenza e comunque non oltre il 31 luglio 2021</w:t>
      </w:r>
      <w:r>
        <w:rPr>
          <w:rFonts w:eastAsia="Arial" w:cs="Arial" w:ascii="Arial" w:hAnsi="Arial"/>
          <w:color w:val="333333"/>
          <w:sz w:val="20"/>
          <w:szCs w:val="20"/>
        </w:rPr>
        <w:t xml:space="preserve">, </w:t>
      </w:r>
      <w:r>
        <w:rPr>
          <w:rFonts w:eastAsia="Times New Roman" w:cs="Times New Roman" w:ascii="Times New Roman" w:hAnsi="Times New Roman"/>
          <w:color w:val="000000"/>
          <w:sz w:val="24"/>
          <w:szCs w:val="24"/>
        </w:rPr>
        <w:t>si prevede la possibilità di svolgere in videoconferenza, anche ove non previsto, le sedute dei consigli dei comuni, delle province, delle città metropolitane e delle giunte comunali, degli organi collegiali degli enti pubblici nazionali nonché degli enti e degli organismi del sistema camerale, degli organi collegiali delle istituzioni scolastiche ed educative di ogni ordine e grado, delle associazioni private anche non riconosciute, delle fondazioni, nonché delle società, comprese le società cooperative e i consorzi (commi 1, 2, 2-</w:t>
      </w:r>
      <w:r>
        <w:rPr>
          <w:rFonts w:eastAsia="Times New Roman" w:cs="Times New Roman" w:ascii="Times New Roman" w:hAnsi="Times New Roman"/>
          <w:i/>
          <w:color w:val="000000"/>
          <w:sz w:val="24"/>
          <w:szCs w:val="24"/>
        </w:rPr>
        <w:t>bis</w:t>
      </w:r>
      <w:r>
        <w:rPr>
          <w:rFonts w:eastAsia="Times New Roman" w:cs="Times New Roman" w:ascii="Times New Roman" w:hAnsi="Times New Roman"/>
          <w:color w:val="000000"/>
          <w:sz w:val="24"/>
          <w:szCs w:val="24"/>
        </w:rPr>
        <w:t> e 4 dell'articolo 73).</w:t>
      </w:r>
    </w:p>
    <w:p>
      <w:pPr>
        <w:pStyle w:val="Normal"/>
        <w:shd w:fill="FFFFFF" w:val="clear"/>
        <w:spacing w:lineRule="auto" w:line="240" w:before="0" w:after="0"/>
        <w:jc w:val="both"/>
        <w:rPr>
          <w:rFonts w:eastAsia="Times New Roman" w:cs="Times New Roman" w:ascii="Times New Roman" w:hAnsi="Times New Roman"/>
          <w:color w:val="000000"/>
          <w:sz w:val="24"/>
          <w:szCs w:val="24"/>
        </w:rPr>
      </w:pPr>
      <w:r>
        <w:rPr>
          <w:rFonts w:eastAsia="Times New Roman" w:cs="Times New Roman" w:ascii="Times New Roman" w:hAnsi="Times New Roman"/>
          <w:color w:val="000000"/>
          <w:sz w:val="24"/>
          <w:szCs w:val="24"/>
        </w:rPr>
        <w:t>In tale periodo di emergenza è sospesa l'applicazione delle disposizioni di cui all'articolo 1, commi 8 e 55, della legge 7 aprile 2014, n. 56, relativamente ai pareri delle assemblee dei sindaci e delle conferenze metropolitane per l'approvazione dei bilanci preventivi e consuntivi, nonché degli altri pareri richiesti dagli statuti provinciali e metropolitani (comma 3 dell'articolo 73).</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7)</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Articolo 73-</w:t>
      </w:r>
      <w:r>
        <w:rPr>
          <w:rFonts w:eastAsia="Times New Roman" w:cs="Times New Roman" w:ascii="Times New Roman" w:hAnsi="Times New Roman"/>
          <w:b/>
          <w:i/>
          <w:sz w:val="24"/>
          <w:szCs w:val="24"/>
        </w:rPr>
        <w:t>bis</w:t>
      </w:r>
      <w:r>
        <w:rPr>
          <w:rFonts w:eastAsia="Times New Roman" w:cs="Times New Roman" w:ascii="Times New Roman" w:hAnsi="Times New Roman"/>
          <w:b/>
          <w:sz w:val="24"/>
          <w:szCs w:val="24"/>
        </w:rPr>
        <w:t xml:space="preserve"> del decreto-legge 17 marzo 2020, n. 18, convertito, con modificazioni, dalla legge 24 aprile 2020, n. 27.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Misure per la profilassi del personale delle Forze di polizia, delle Forze armate e del Corpo nazionale dei vigili del fuoco</w:t>
      </w:r>
    </w:p>
    <w:p>
      <w:pPr>
        <w:pStyle w:val="Normal"/>
        <w:shd w:fill="FFFFFF" w:val="clear"/>
        <w:spacing w:lineRule="auto" w:line="240" w:before="0" w:after="0"/>
        <w:jc w:val="both"/>
        <w:rPr>
          <w:rFonts w:eastAsia="Times New Roman" w:cs="Times New Roman" w:ascii="Times New Roman" w:hAnsi="Times New Roman"/>
          <w:color w:val="000000"/>
          <w:sz w:val="24"/>
          <w:szCs w:val="24"/>
        </w:rPr>
      </w:pPr>
      <w:r>
        <w:rPr>
          <w:rFonts w:eastAsia="Times New Roman" w:cs="Times New Roman" w:ascii="Times New Roman" w:hAnsi="Times New Roman"/>
          <w:color w:val="000000"/>
          <w:sz w:val="24"/>
          <w:szCs w:val="24"/>
        </w:rPr>
        <w:t>Si prorogano fino alla cessazione dello stato di emergenza e comunque non oltre il 31 luglio 2021 le misure di profilassi sanitaria per gli appartenenti alle Forze di polizia, alle Forze armate e al Corpo nazionale dei vigili del fuoco, impiegati per le esigenze connesse al contenimento della diffusione del COVID-19 (comma 1 dell'articolo 73-</w:t>
      </w:r>
      <w:r>
        <w:rPr>
          <w:rFonts w:eastAsia="Times New Roman" w:cs="Times New Roman" w:ascii="Times New Roman" w:hAnsi="Times New Roman"/>
          <w:i/>
          <w:color w:val="000000"/>
          <w:sz w:val="24"/>
          <w:szCs w:val="24"/>
        </w:rPr>
        <w:t>bis</w:t>
      </w:r>
      <w:r>
        <w:rPr>
          <w:rFonts w:eastAsia="Times New Roman" w:cs="Times New Roman" w:ascii="Times New Roman" w:hAnsi="Times New Roman"/>
          <w:color w:val="000000"/>
          <w:sz w:val="24"/>
          <w:szCs w:val="24"/>
        </w:rPr>
        <w:t>). Le medesime misure si applicano anche al personale dell'Amministrazione civile dell'interno che opera presso le Commissioni territoriali per il riconoscimento della protezione internazionale (comma 2 dell'articolo 73-</w:t>
      </w:r>
      <w:r>
        <w:rPr>
          <w:rFonts w:eastAsia="Times New Roman" w:cs="Times New Roman" w:ascii="Times New Roman" w:hAnsi="Times New Roman"/>
          <w:i/>
          <w:color w:val="000000"/>
          <w:sz w:val="24"/>
          <w:szCs w:val="24"/>
        </w:rPr>
        <w:t>bis</w:t>
      </w:r>
      <w:r>
        <w:rPr>
          <w:rFonts w:eastAsia="Times New Roman" w:cs="Times New Roman" w:ascii="Times New Roman" w:hAnsi="Times New Roman"/>
          <w:color w:val="000000"/>
          <w:sz w:val="24"/>
          <w:szCs w:val="24"/>
        </w:rPr>
        <w:t>).</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8)</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Articolo 87, commi 6 e 7, del decreto-legge 17 marzo 2020, n. 18, convertito, con modificazioni, dalla legge 24 aprile 2020, n. 27.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Dispensa temporanea dal servizio e non computabilità di alcuni periodi di assenza dal servizio</w:t>
      </w:r>
    </w:p>
    <w:p>
      <w:pPr>
        <w:pStyle w:val="Normal"/>
        <w:shd w:fill="FFFFFF" w:val="clear"/>
        <w:spacing w:lineRule="auto" w:line="240" w:before="0" w:after="0"/>
        <w:jc w:val="both"/>
        <w:rPr>
          <w:rFonts w:eastAsia="Times New Roman" w:cs="Times New Roman" w:ascii="Times New Roman" w:hAnsi="Times New Roman"/>
          <w:color w:val="000000"/>
          <w:sz w:val="24"/>
          <w:szCs w:val="24"/>
        </w:rPr>
      </w:pPr>
      <w:r>
        <w:rPr>
          <w:rFonts w:eastAsia="Times New Roman" w:cs="Times New Roman" w:ascii="Times New Roman" w:hAnsi="Times New Roman"/>
          <w:color w:val="000000"/>
          <w:sz w:val="24"/>
          <w:szCs w:val="24"/>
        </w:rPr>
        <w:t>Si prevede che fino alla cessazione dello stato di emergenza e comunque non oltre il 31 luglio 2021, il personale delle Forze di polizia, delle Forze armate e del Corpo nazionale dei vigili del fuoco possa essere dispensato temporaneamente dalla presenza in servizio, anche ai soli fini precauzionali in relazione all'esposizione al rischio di contagio da COVID-19. Tale periodo è equiparato, agli effetti economici e previdenziali, al servizio prestato, con esclusione della corresponsione dell'indennità sostitutiva di mensa, ove prevista, e non è computabile nel limite di cui all'articolo 37, terzo comma, del testo unico di cui al decreto del Presidente della Repubblica 10 gennaio 1957, n. 3 (comma 6 dell'articolo 87). Fino alla stessa data, il personale delle Forze armate, delle Forze di polizia e del Corpo nazionale dei vigili del fuoco assente dal servizio per malattia o quarantena dovuta al COVID-19, è collocato d'ufficio in licenza straordinaria, in congedo straordinario o in malattia, con esclusione di tali periodi di assenza dal computo dei giorni previsti dall'articolo 37, terzo comma, del citato decreto del Presidente della Repubblica 10 gennaio 1957, n. 3, dal periodo massimo di licenza straordinaria di convalescenza per il personale militare in ferma e rafferma volontaria e dal periodo di assenza di cui all'articolo 4 e all'articolo 15 dei decreti del Presidente della Repubblica 7 maggio 2008 di recepimento dell'accordo sindacale integrativo del personale direttivo e dirigente e non direttivo e non dirigente del Corpo nazionale dei vigili del fuoco. Il periodo di assenza costituisce servizio prestato a tutti gli effetti di legge e l'amministrazione non corrisponde l'indennità sostitutiva di mensa, ove prevista (comma 7 dell'articolo 87).</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9)</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Articolo 101, comma 6-</w:t>
      </w:r>
      <w:r>
        <w:rPr>
          <w:rFonts w:eastAsia="Times New Roman" w:cs="Times New Roman" w:ascii="Times New Roman" w:hAnsi="Times New Roman"/>
          <w:b/>
          <w:i/>
          <w:sz w:val="24"/>
          <w:szCs w:val="24"/>
        </w:rPr>
        <w:t>ter</w:t>
      </w:r>
      <w:r>
        <w:rPr>
          <w:rFonts w:eastAsia="Times New Roman" w:cs="Times New Roman" w:ascii="Times New Roman" w:hAnsi="Times New Roman"/>
          <w:b/>
          <w:sz w:val="24"/>
          <w:szCs w:val="24"/>
        </w:rPr>
        <w:t>, del decreto-legge 17 marzo 2020, n. 18, convertito, con modificazioni, dalla legge 24 aprile 2020, n. 27.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Misure urgenti per la continuità dell'attività formativa delle Università e delle Istituzioni di alta formazione artistica musicale e coreutica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Con la proroga della disposizione del comma 6-ter dell’articolo 101 si consente alle</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Commissioni valutatrici dei candidati in attesa di conferma in ruolo a tempo indeterminato di tenere conto delle limitazioni all’attività scientifica conseguenti alla dichiarazione dello stato di emergenza.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10)</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Articolo 102, comma 6, del decreto-legge 17 marzo 2020, n. 18, convertito, con modificazioni, dalla legge 24 aprile 2020, n. 27.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Abilitazione all'esercizio della professione di medico-chirurgo e ulteriori misure urgenti in materia di professioni sanitarie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Si proroga la misura di cui al comma 6, dell’articolo 102, che agevola il riconoscimento, per la durata dell’emergenza epidemiologica da COVID-19, delle qualifiche professionali, in ambito sanitario, conseguite nell’ambito dei Paesi membri dell’Unione europea. Dispone infatti che, qualora il riconoscimento della qualifica professionale per l’esercizio delle professioni sanitarie infermieristiche, ostetriche, riabilitative, tecnico-sanitarie e della prevenzione sia subordinato allo svolgimento di una prova compensativa, la stessa può essere svolta con modalità a distanza e la prova pratica può svolgersi con le modalità di cui al punto 2 della citata circolare del Ministero della salute e del Ministero dell’istruzione, dell’università e della ricerca del 30 settembre 2016.</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11)</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Articolo 122, comma 4, del decreto-legge 17 marzo 2020, n. 18, convertito, con modificazioni, dalla legge 24 aprile 2020, n. 27.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 xml:space="preserve">Durata dell’incarico del Commissario straordinario per l’attuazione e il coordinamento delle misure di contenimento e contrasto dell’emergenza epidemiologica COVID-19 </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 disposizione proroga il termine entro il quale opera il Commissario straordinario per l'attuazione e il coordinamento delle misure occorrenti per il contenimento e contrasto dell'emergenza epidemiologica da COVID-19.</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12)</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Articolo 1, comma 4-</w:t>
      </w:r>
      <w:r>
        <w:rPr>
          <w:rFonts w:eastAsia="Times New Roman" w:cs="Times New Roman" w:ascii="Times New Roman" w:hAnsi="Times New Roman"/>
          <w:b/>
          <w:i/>
          <w:sz w:val="24"/>
          <w:szCs w:val="24"/>
        </w:rPr>
        <w:t>bis</w:t>
      </w:r>
      <w:r>
        <w:rPr>
          <w:rFonts w:eastAsia="Times New Roman" w:cs="Times New Roman" w:ascii="Times New Roman" w:hAnsi="Times New Roman"/>
          <w:b/>
          <w:sz w:val="24"/>
          <w:szCs w:val="24"/>
        </w:rPr>
        <w:t>, del decreto-legge 8 aprile 2020, n. 22, convertito, con modificazioni, dalla legge 6 giugno 2020, n. 41.</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Modalità di svolgimento dell’attività dei gruppi di lavoro per l’inclusione scolastica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 proroga interviene sull’articolo 1, comma 4-</w:t>
      </w:r>
      <w:r>
        <w:rPr>
          <w:rFonts w:eastAsia="Times New Roman" w:cs="Times New Roman" w:ascii="Times New Roman" w:hAnsi="Times New Roman"/>
          <w:i/>
          <w:sz w:val="24"/>
          <w:szCs w:val="24"/>
        </w:rPr>
        <w:t>bis</w:t>
      </w:r>
      <w:r>
        <w:rPr>
          <w:rFonts w:eastAsia="Times New Roman" w:cs="Times New Roman" w:ascii="Times New Roman" w:hAnsi="Times New Roman"/>
          <w:sz w:val="24"/>
          <w:szCs w:val="24"/>
        </w:rPr>
        <w:t>, del decreto-legge n. 22 del 2020, al fine di continuare a consentire lo svolgimento delle riunioni, tramite sedute in videoconferenza, del “Gruppo di lavoro operativo per l’inclusione”, in considerazione dell’importanza riconosciuta alle funzioni di questi organismi, presenti in ogni istituzione scolastica, nella definizione del Piano educativo individualizzato (PEI) e dei processi di inclusione scolastica. La proroga è giustificata dalla necessità di assicurare l’operatività di tali Gruppi di lavoro, anche rispetto all’adozione di nuove misure di contrasto alla diffusione del virus COVID-19, che potrebbero impedirne le riunioni in presenza.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13)</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Articolo 3, comma 1, del decreto-legge 8 aprile 2020, n. 22, convertito, con modificazioni, dalla legge 6 giugno 2020, n. 41.</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Misure urgenti per la tempestiva adozione dei provvedimenti del Ministero dell'istruzione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 proroga, intervenendo sull’articolo 3, comma 1, del decreto-legge n. 22 del 2020, consente di applicare il termine attuale, in tema di rilascio dei pareri da parte del Consiglio superiore della pubblica istruzione (CSPI). Pertanto l’organo consultivo, sino al termine prorogato, dovrà rilasciare il parere entro il ridotto termine di sette giorni dalla richiesta del Ministro (a fronte dell’ordinario termine di quarantacinque giorni incompatibile con lo stato emergenziale), decorso il quale si potrà prescindere da detto parere obbligatorio. L’intensa scansione temporale di atti e provvedimenti relativi all’avvio del prossimo anno scolastico comporta che anche la sospensione di efficacia di pochi giorni possa pregiudicare il buon esito delle operazioni, in un quadro di mutate ed eccezionali regole. Lo stato di emergenza, difatti, non è attualmente compatibile con i tempi per ottenere il parere obbligatorio del Consiglio superiore della pubblica istruzione (CSPI) su una serie di atti fondamentali.</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14)</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Articolo 6, comma 4, del decreto-legge 8 aprile 2020, n. 22, convertito, con modificazioni, dalla legge 6 giugno 2020, n. 41</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Misure urgenti per lo svolgimento degli esami di Stato di abilitazione all'esercizio delle professioni e dei tirocini professionalizzanti e curriculari</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sz w:val="24"/>
          <w:szCs w:val="24"/>
        </w:rPr>
        <w:t>Si proroga il comma 4 che riguarda, in via residuale, tutte le professioni escluse dalle previsioni di cui ai commi 1 e 3 dell’articolo 6 del decreto-legge n.22 del 2020, assicurando che per le stesse, ai fini del conseguimento dei requisiti necessari alla partecipazione degli esami di Stato di abilitazione, in considerazione delle criticità emerse nel periodo corrispondente alla durata dello stato di emergenza, le amministrazioni competenti all’organizzazione degli esami di Stato hanno facoltà di modificare i suddetti requisiti, in deroga alle disposizioni vigenti, al fine di consentire l’ammissione dei candidati che abbiano ritardato il conseguimento della laurea per causa a loro non imputabile</w:t>
      </w:r>
      <w:r>
        <w:rPr>
          <w:rFonts w:eastAsia="Times New Roman" w:cs="Times New Roman" w:ascii="Times New Roman" w:hAnsi="Times New Roman"/>
          <w:b/>
          <w:sz w:val="24"/>
          <w:szCs w:val="24"/>
        </w:rPr>
        <w:t>.</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I commi 1 e  3 del citato articolo 6 riguardano specificatamente: le professioni di dottore agronomo e dottore forestale, agrotecnico, architetto, assistente sociale, attuario, biologo, chimico, geologo, geometra, ingegnere, perito agrario, perito industriale, psicologo (la disposizione in esame richiama le professioni regolamentate ai sensi del decreto del Presidente della Repubblica 5 giugno 2001, n. 328); le professioni di odontoiatra, farmacista, veterinario, tecnologo alimentare, dottore commercialista ed esperto contabile; la professione di revisione legale e infine la professione forense.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15)</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Articolo 4 del decreto-legge 8 aprile 2020, n. 23, convertito, con modificazioni, dalla legge 5 giugno 2020, n. 40</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Proroga delle forme semplificate di sottoscrizione e comunicazione relative a contratti finanziari</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Si proroga, in relazione allo stato di emergenza, la disposizione che prevede che, ai fini degli </w:t>
      </w:r>
      <w:r>
        <w:fldChar w:fldCharType="begin"/>
      </w:r>
      <w:r>
        <w:instrText> HYPERLINK "https://pa.leggiditalia.it/" \l "id=10LX0000109996ART133,__m=document"</w:instrText>
      </w:r>
      <w:r>
        <w:fldChar w:fldCharType="separate"/>
      </w:r>
      <w:r>
        <w:rPr>
          <w:rStyle w:val="CollegamentoInternet"/>
          <w:rFonts w:eastAsia="Times New Roman" w:cs="Times New Roman" w:ascii="Times New Roman" w:hAnsi="Times New Roman"/>
          <w:color w:val="000000"/>
          <w:sz w:val="24"/>
          <w:szCs w:val="24"/>
          <w:u w:val="none"/>
        </w:rPr>
        <w:t>articoli 117</w:t>
      </w:r>
      <w:r>
        <w:fldChar w:fldCharType="end"/>
      </w:r>
      <w:r>
        <w:rPr>
          <w:rFonts w:eastAsia="Times New Roman" w:cs="Times New Roman" w:ascii="Times New Roman" w:hAnsi="Times New Roman"/>
          <w:sz w:val="24"/>
          <w:szCs w:val="24"/>
        </w:rPr>
        <w:t xml:space="preserve">, </w:t>
      </w:r>
      <w:r>
        <w:fldChar w:fldCharType="begin"/>
      </w:r>
      <w:r>
        <w:instrText> HYPERLINK "https://pa.leggiditalia.it/" \l "id=10LX0000109996ART211,__m=document"</w:instrText>
      </w:r>
      <w:r>
        <w:fldChar w:fldCharType="separate"/>
      </w:r>
      <w:r>
        <w:rPr>
          <w:rStyle w:val="CollegamentoInternet"/>
          <w:rFonts w:eastAsia="Times New Roman" w:cs="Times New Roman" w:ascii="Times New Roman" w:hAnsi="Times New Roman"/>
          <w:color w:val="000000"/>
          <w:sz w:val="24"/>
          <w:szCs w:val="24"/>
          <w:u w:val="none"/>
        </w:rPr>
        <w:t>125-bis</w:t>
      </w:r>
      <w:r>
        <w:fldChar w:fldCharType="end"/>
      </w:r>
      <w:r>
        <w:rPr>
          <w:rFonts w:eastAsia="Times New Roman" w:cs="Times New Roman" w:ascii="Times New Roman" w:hAnsi="Times New Roman"/>
          <w:sz w:val="24"/>
          <w:szCs w:val="24"/>
        </w:rPr>
        <w:t>,</w:t>
      </w:r>
      <w:r>
        <w:fldChar w:fldCharType="begin"/>
      </w:r>
      <w:r>
        <w:instrText> HYPERLINK "https://pa.leggiditalia.it/" \l "id=10LX0000109996ART198,__m=document"</w:instrText>
      </w:r>
      <w:r>
        <w:fldChar w:fldCharType="separate"/>
      </w:r>
      <w:r>
        <w:rPr>
          <w:rStyle w:val="CollegamentoInternet"/>
          <w:rFonts w:eastAsia="Times New Roman" w:cs="Times New Roman" w:ascii="Times New Roman" w:hAnsi="Times New Roman"/>
          <w:color w:val="000000"/>
          <w:sz w:val="24"/>
          <w:szCs w:val="24"/>
          <w:u w:val="none"/>
        </w:rPr>
        <w:t>126</w:t>
      </w:r>
      <w:r>
        <w:fldChar w:fldCharType="end"/>
      </w:r>
      <w:r>
        <w:fldChar w:fldCharType="begin"/>
      </w:r>
      <w:r>
        <w:instrText> HYPERLINK "https://pa.leggiditalia.it/" \l "id=10LX0000109996ART198,__m=document"</w:instrText>
      </w:r>
      <w:r>
        <w:fldChar w:fldCharType="separate"/>
      </w:r>
      <w:r>
        <w:rPr>
          <w:rStyle w:val="CollegamentoInternet"/>
          <w:rFonts w:eastAsia="Times New Roman" w:cs="Times New Roman" w:ascii="Times New Roman" w:hAnsi="Times New Roman"/>
          <w:i/>
          <w:color w:val="000000"/>
          <w:sz w:val="24"/>
          <w:szCs w:val="24"/>
          <w:u w:val="none"/>
        </w:rPr>
        <w:t>-quinquies</w:t>
      </w:r>
      <w:r>
        <w:fldChar w:fldCharType="end"/>
      </w:r>
      <w:r>
        <w:rPr>
          <w:rFonts w:eastAsia="Times New Roman" w:cs="Times New Roman" w:ascii="Times New Roman" w:hAnsi="Times New Roman"/>
          <w:sz w:val="24"/>
          <w:szCs w:val="24"/>
        </w:rPr>
        <w:t xml:space="preserve"> e </w:t>
      </w:r>
      <w:r>
        <w:fldChar w:fldCharType="begin"/>
      </w:r>
      <w:r>
        <w:instrText> HYPERLINK "https://pa.leggiditalia.it/" \l "id=10LX0000109996ART36691282,__m=document"</w:instrText>
      </w:r>
      <w:r>
        <w:fldChar w:fldCharType="separate"/>
      </w:r>
      <w:r>
        <w:rPr>
          <w:rStyle w:val="CollegamentoInternet"/>
          <w:rFonts w:eastAsia="Times New Roman" w:cs="Times New Roman" w:ascii="Times New Roman" w:hAnsi="Times New Roman"/>
          <w:color w:val="000000"/>
          <w:sz w:val="24"/>
          <w:szCs w:val="24"/>
          <w:u w:val="none"/>
        </w:rPr>
        <w:t>126-</w:t>
      </w:r>
      <w:r>
        <w:fldChar w:fldCharType="end"/>
      </w:r>
      <w:r>
        <w:fldChar w:fldCharType="begin"/>
      </w:r>
      <w:r>
        <w:instrText> HYPERLINK "https://pa.leggiditalia.it/" \l "id=10LX0000109996ART36691282,__m=document"</w:instrText>
      </w:r>
      <w:r>
        <w:fldChar w:fldCharType="separate"/>
      </w:r>
      <w:r>
        <w:rPr>
          <w:rStyle w:val="CollegamentoInternet"/>
          <w:rFonts w:eastAsia="Times New Roman" w:cs="Times New Roman" w:ascii="Times New Roman" w:hAnsi="Times New Roman"/>
          <w:i/>
          <w:color w:val="000000"/>
          <w:sz w:val="24"/>
          <w:szCs w:val="24"/>
          <w:u w:val="none"/>
        </w:rPr>
        <w:t>quinquiesdecies</w:t>
      </w:r>
      <w:r>
        <w:fldChar w:fldCharType="end"/>
      </w:r>
      <w:r>
        <w:fldChar w:fldCharType="begin"/>
      </w:r>
      <w:r>
        <w:instrText> HYPERLINK "https://pa.leggiditalia.it/" \l "id=10LX0000109996ART36691282,__m=document"</w:instrText>
      </w:r>
      <w:r>
        <w:fldChar w:fldCharType="separate"/>
      </w:r>
      <w:r>
        <w:rPr>
          <w:rStyle w:val="CollegamentoInternet"/>
          <w:rFonts w:eastAsia="Times New Roman" w:cs="Times New Roman" w:ascii="Times New Roman" w:hAnsi="Times New Roman"/>
          <w:color w:val="000000"/>
          <w:sz w:val="24"/>
          <w:szCs w:val="24"/>
          <w:u w:val="none"/>
        </w:rPr>
        <w:t xml:space="preserve"> del decreto legislativo 1°settembre 1993, n. 385</w:t>
      </w:r>
      <w:r>
        <w:fldChar w:fldCharType="end"/>
      </w:r>
      <w:r>
        <w:rPr>
          <w:rFonts w:eastAsia="Times New Roman" w:cs="Times New Roman" w:ascii="Times New Roman" w:hAnsi="Times New Roman"/>
          <w:sz w:val="24"/>
          <w:szCs w:val="24"/>
        </w:rPr>
        <w:t>, ferme restando le previsioni sulle tecniche di conclusione dei contratti mediante strumenti informativi o telematici, i contratti, conclusi con la clientela al dettaglio come definita dalle disposizioni della Banca d'Italia in materia di trasparenza delle operazioni e dei servizi bancari e finanziari, soddisfano il requisito ed hanno l'efficacia di cui all'</w:t>
      </w:r>
      <w:r>
        <w:fldChar w:fldCharType="begin"/>
      </w:r>
      <w:r>
        <w:instrText> HYPERLINK "https://pa.leggiditalia.it/" \l "id=10LX0000167288ART21,__m=document"</w:instrText>
      </w:r>
      <w:r>
        <w:fldChar w:fldCharType="separate"/>
      </w:r>
      <w:r>
        <w:rPr>
          <w:rStyle w:val="CollegamentoInternet"/>
          <w:rFonts w:eastAsia="Times New Roman" w:cs="Times New Roman" w:ascii="Times New Roman" w:hAnsi="Times New Roman"/>
          <w:color w:val="000000"/>
          <w:sz w:val="24"/>
          <w:szCs w:val="24"/>
          <w:u w:val="none"/>
        </w:rPr>
        <w:t>articolo 20, comma 1-</w:t>
      </w:r>
      <w:r>
        <w:fldChar w:fldCharType="end"/>
      </w:r>
      <w:r>
        <w:fldChar w:fldCharType="begin"/>
      </w:r>
      <w:r>
        <w:instrText> HYPERLINK "https://pa.leggiditalia.it/" \l "id=10LX0000167288ART21,__m=document"</w:instrText>
      </w:r>
      <w:r>
        <w:fldChar w:fldCharType="separate"/>
      </w:r>
      <w:r>
        <w:rPr>
          <w:rStyle w:val="CollegamentoInternet"/>
          <w:rFonts w:eastAsia="Times New Roman" w:cs="Times New Roman" w:ascii="Times New Roman" w:hAnsi="Times New Roman"/>
          <w:i/>
          <w:color w:val="000000"/>
          <w:sz w:val="24"/>
          <w:szCs w:val="24"/>
          <w:u w:val="none"/>
        </w:rPr>
        <w:t>bis</w:t>
      </w:r>
      <w:r>
        <w:fldChar w:fldCharType="end"/>
      </w:r>
      <w:r>
        <w:fldChar w:fldCharType="begin"/>
      </w:r>
      <w:r>
        <w:instrText> HYPERLINK "https://pa.leggiditalia.it/" \l "id=10LX0000167288ART21,__m=document"</w:instrText>
      </w:r>
      <w:r>
        <w:fldChar w:fldCharType="separate"/>
      </w:r>
      <w:r>
        <w:rPr>
          <w:rStyle w:val="CollegamentoInternet"/>
          <w:rFonts w:eastAsia="Times New Roman" w:cs="Times New Roman" w:ascii="Times New Roman" w:hAnsi="Times New Roman"/>
          <w:color w:val="000000"/>
          <w:sz w:val="24"/>
          <w:szCs w:val="24"/>
          <w:u w:val="none"/>
        </w:rPr>
        <w:t>, primo periodo, del decreto legislativo 7 marzo 2005, n. 82</w:t>
      </w:r>
      <w:r>
        <w:fldChar w:fldCharType="end"/>
      </w:r>
      <w:r>
        <w:rPr>
          <w:rFonts w:eastAsia="Times New Roman" w:cs="Times New Roman" w:ascii="Times New Roman" w:hAnsi="Times New Roman"/>
          <w:sz w:val="24"/>
          <w:szCs w:val="24"/>
        </w:rPr>
        <w:t>, anche se il cliente esprime il proprio consenso mediante comunicazione inviata dal proprio indirizzo di posta elettronica non certificata o con altro strumento idoneo, a condizione che l'espressione del consenso sia accompagnata da copia di un documento di riconoscimento in corso di validità del contraente, faccia riferimento ad un contratto identificabile in modo certo e sia conservata insieme al contratto medesimo con modalità tali da garantirne la sicurezza, l’integrità e l’immodificabilità. Il requisito della consegna di copia del contratto è soddisfatto mediante la messa a disposizione del cliente di copia del testo del contratto su supporto durevole; l'intermediario consegna copia cartacea del contratto al cliente alla prima occasione utile successiva al termine dello stato di emergenza. Il cliente può usare il medesimo strumento impiegato per esprimere il consenso al contratto anche per esercitare il diritto di recesso previsto dalla legge.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16) Articolo 27</w:t>
      </w:r>
      <w:r>
        <w:rPr>
          <w:rFonts w:eastAsia="Times New Roman" w:cs="Times New Roman" w:ascii="Times New Roman" w:hAnsi="Times New Roman"/>
          <w:b/>
          <w:i/>
          <w:sz w:val="24"/>
          <w:szCs w:val="24"/>
        </w:rPr>
        <w:t>-bis,</w:t>
      </w:r>
      <w:r>
        <w:rPr>
          <w:rFonts w:eastAsia="Times New Roman" w:cs="Times New Roman" w:ascii="Times New Roman" w:hAnsi="Times New Roman"/>
          <w:b/>
          <w:sz w:val="24"/>
          <w:szCs w:val="24"/>
        </w:rPr>
        <w:t xml:space="preserve"> comma 1, del decreto-legge 8 aprile 2020, n. 23, convertito, con modificazioni, dalla legge 5 giugno 2020, n. 40</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Disposizione in materia di distribuzione dei farmaci agli assistiti</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 disposizione prevede la possibilità di erogazione per conto dalle farmacie convenzionate con il Servizio sanitario nazionale dei farmaci, che richiedono un controllo ricorrente del paziente, già erogati in regime di distribuzione diretta da parte delle strutture pubbliche.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17) Articolo 38, commi 1 e 6, del decreto-legge 8 aprile 2020, n. 23, convertito, con modificazioni, dalla legge 5 giugno 2020, n. 40</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Disposizioni urgenti in materia contrattuale per la medicina convenzionata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 disposizione consente, in considerazione della temporanea sospensione delle trattative in corso per la definizione contrattuale dell'accordo collettivo nazionale 2016-2018 per la Medicina Generale e la Pediatria di Libera Scelta, per le necessità connesse al contenimento dell'emergenza pandemica da COVID-19, il riconoscimento ai suddetti medici di medicina generale e ai pediatri di libera scelta dell'adeguamento immediato delle quote capitaria e oraria ai contenuti economici previsti dall'Atto di indirizzo per il rinnovo dell'accordo collettivo nazionale della medicina convenzionata, approvato dal Comitato di Settore Regioni-Sanità in data 9 luglio 2019 e 29 agosto 2019, riferiti al totale incrementale previsto per il 2018, nonché i relativi arretrati. La disposizione richiede inoltre l'impegno per le parti contrattuali a concludere le trattative per l'accordo collettivo nazionale 2016-2018 entro sei mesi dalla fine dell'emergenza secondo le procedure ordinarie.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Per le medesime finalità si riconosce agli specialisti ambulatoriali l'adeguamento immediato del trattamento economico ai contenuti economici previsti dall'Atto di indirizzo per il rinnovo dell'accordo collettivo nazionale della medicina convenzionata, approvato dal Comitato di Settore Regioni-Sanità in data 9 luglio 2019 su proposta della Conferenza delle Regioni e delle Province autonome e parere positivo del Governo, riferiti al totale incrementale previsto per il 2018.</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18) Articolo 40, commi 1, 3 e 5, del decreto-legge 8 aprile 2020, n. 23, convertito, con modificazioni, dalla legge 5 giugno 2020, n. 40</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Disposizioni urgenti in materia di sperimentazione dei medicinali per l'emergenza epidemiologica da COVID-19</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 disposizione prevede la possibilità per l'AIFA di accedere a tutti i dati degli studi clinici sperimentali, osservazionali e dei programmi di uso terapeutico compassionevole, per pazienti con COVID-19, ferme restando le disposizioni vigenti in materia di sperimentazione clinica dei medicinali. Si prevede inoltre l'espressione del parere nazionale, anche sulla base della valutazione della CTS dell'AIFA, da parte del Comitato etico dell'Istituto Nazionale per le Malattie Infettive Lazzaro Spallanzani di Roma.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Il parere del Comitato etico deve essere comunicato all'AIFA, la quale dovrà provvedere alla sua pubblicazione, nonché del relativo protocollo approvato, sul proprio sito internet istituzionale.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È infine prevista la possibilità per l'AIFA di acquisire, in deroga alle vigenti procedure, le domande di sperimentazione clinica, sentito il Comitato etico nazionale dell'INMI, e di pubblicare una circolare che indichi le procedure semplificate per la menzionata acquisizione delle domande nonché per le modalità di adesione agli studi.</w:t>
      </w:r>
    </w:p>
    <w:p>
      <w:pPr>
        <w:pStyle w:val="Normal"/>
        <w:spacing w:lineRule="auto" w:line="240" w:before="0" w:after="0"/>
        <w:jc w:val="both"/>
        <w:rPr>
          <w:rFonts w:eastAsia="Times New Roman" w:cs="Times New Roman" w:ascii="Times New Roman" w:hAnsi="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jc w:val="both"/>
        <w:rPr>
          <w:rFonts w:eastAsia="Times New Roman" w:cs="Times New Roman" w:ascii="Times New Roman" w:hAnsi="Times New Roman"/>
          <w:b/>
          <w:color w:val="000000"/>
          <w:sz w:val="24"/>
          <w:szCs w:val="24"/>
        </w:rPr>
      </w:pPr>
      <w:r>
        <w:rPr>
          <w:rFonts w:eastAsia="Times New Roman" w:cs="Times New Roman" w:ascii="Times New Roman" w:hAnsi="Times New Roman"/>
          <w:b/>
          <w:color w:val="000000"/>
          <w:sz w:val="24"/>
          <w:szCs w:val="24"/>
        </w:rPr>
        <w:t>19) Articolo 4, commi 1 e 3, del decreto-legge 19 maggio 2020, n. 34, convertito, con modificazioni, dalla legge 17 luglio 2020, n. 77 </w:t>
      </w:r>
    </w:p>
    <w:p>
      <w:pPr>
        <w:pStyle w:val="Normal"/>
        <w:spacing w:lineRule="auto" w:line="240" w:before="0" w:after="0"/>
        <w:jc w:val="both"/>
        <w:rPr>
          <w:rFonts w:eastAsia="Times New Roman" w:cs="Times New Roman" w:ascii="Times New Roman" w:hAnsi="Times New Roman"/>
          <w:b/>
          <w:color w:val="000000"/>
          <w:sz w:val="24"/>
          <w:szCs w:val="24"/>
        </w:rPr>
      </w:pPr>
      <w:r>
        <w:rPr>
          <w:rFonts w:eastAsia="Times New Roman" w:cs="Times New Roman" w:ascii="Times New Roman" w:hAnsi="Times New Roman"/>
          <w:b/>
          <w:color w:val="000000"/>
          <w:sz w:val="24"/>
          <w:szCs w:val="24"/>
        </w:rPr>
        <w:t>Misure urgenti per l'avvio di specifiche funzioni assistenziali per l'emergenza COVID-19 </w:t>
      </w:r>
    </w:p>
    <w:p>
      <w:pPr>
        <w:pStyle w:val="Normal"/>
        <w:shd w:fill="FFFFFF" w:val="clear"/>
        <w:spacing w:lineRule="auto" w:line="240" w:before="0" w:after="0"/>
        <w:jc w:val="both"/>
        <w:rPr>
          <w:rFonts w:eastAsia="Times New Roman" w:cs="Times New Roman" w:ascii="Times New Roman" w:hAnsi="Times New Roman"/>
          <w:color w:val="333333"/>
          <w:sz w:val="24"/>
          <w:szCs w:val="24"/>
        </w:rPr>
      </w:pPr>
      <w:r>
        <w:rPr>
          <w:rFonts w:eastAsia="Times New Roman" w:cs="Times New Roman" w:ascii="Times New Roman" w:hAnsi="Times New Roman"/>
          <w:color w:val="333333"/>
          <w:sz w:val="24"/>
          <w:szCs w:val="24"/>
        </w:rPr>
        <w:t>La disposizione prevede la possibilità per le regioni, ivi comprese quelle sottoposte a piano di rientro, e le province autonome di Trento e Bolzano di riconoscere alle strutture inserite nei piani adottati in attuazione dell'</w:t>
      </w:r>
      <w:r>
        <w:rPr>
          <w:rFonts w:eastAsia="Times New Roman" w:cs="Times New Roman" w:ascii="Times New Roman" w:hAnsi="Times New Roman"/>
          <w:sz w:val="24"/>
          <w:szCs w:val="24"/>
        </w:rPr>
        <w:t>articolo 3, comma 1, lettera b), del decreto- legge 17 marzo 2020, n. 18</w:t>
      </w:r>
      <w:r>
        <w:rPr>
          <w:rFonts w:eastAsia="Times New Roman" w:cs="Times New Roman" w:ascii="Times New Roman" w:hAnsi="Times New Roman"/>
          <w:color w:val="333333"/>
          <w:sz w:val="24"/>
          <w:szCs w:val="24"/>
        </w:rPr>
        <w:t>, la remunerazione di una specifica funzione assistenziale per i maggiori costi correlati all'allestimento dei reparti e alla gestione dell'emergenza del COVID-19 secondo le disposizioni dei predetti piani e un incremento tariffario per le attività rese a pazienti affetti da COVID-19.</w:t>
      </w:r>
    </w:p>
    <w:p>
      <w:pPr>
        <w:pStyle w:val="Normal"/>
        <w:shd w:fill="FFFFFF" w:val="clear"/>
        <w:spacing w:lineRule="auto" w:line="240" w:before="0" w:after="0"/>
        <w:jc w:val="both"/>
        <w:rPr>
          <w:rFonts w:eastAsia="Times New Roman" w:cs="Times New Roman" w:ascii="Times New Roman" w:hAnsi="Times New Roman"/>
          <w:color w:val="333333"/>
          <w:sz w:val="24"/>
          <w:szCs w:val="24"/>
        </w:rPr>
      </w:pPr>
      <w:r>
        <w:rPr>
          <w:rFonts w:eastAsia="Times New Roman" w:cs="Times New Roman" w:ascii="Times New Roman" w:hAnsi="Times New Roman"/>
          <w:color w:val="333333"/>
          <w:sz w:val="24"/>
          <w:szCs w:val="24"/>
        </w:rPr>
        <w:t>Prevede, altresì, il riconoscimento della specifica funzione assistenziale dell'incremento tariffario per le attività rese a pazienti affetti da COVID-19, anche agli enti del Servizio sanitario nazionale compatibilmente con il fabbisogno sanitario riconosciuto per l'anno 2020. Con decreto del Ministro della salute la specifica funzione assistenziale viene determinata con riferimento alle attività effettivamente svolte e ai costi effettivamente sostenuti dalle strutture inserite nei piani nonché sostenuti dagli enti del Servizio sanitario nazionale. Inoltre con il medesimo decreto l'incremento tariffario viene determinato con riferimento ai maggiori oneri correlati ai ricoveri ospedalieri di pazienti affetti da patologie da SARS-CoV-2, sostenuti dalle strutture e dagli enti citati, valutati sulla base delle informazioni desunte dal sistema informativo sanitario del Ministero della salute e dalle informazioni rese disponibili dalle regioni, anche in relazione alla loro congruità.</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20) Articolo 9 del decreto-legge 19 maggio 2020, n. 34, convertito, con modificazioni, dalla legge 17 luglio 2020, n. 77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Proroga di piani terapeutici</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 disposizione prevede la proroga dei piani terapeutici in scadenza durante il periodo dell’emergenza epidemiologica in corso,  che includono la fornitura di ausili, dispositivi monouso e altri dispositivi protesici, di cui al decreto del Presidente del Consiglio dei ministri 12 gennaio 2017, per incontinenza, stomie e alimentazione speciale, per i laringectomizzati, per la prevenzione e trattamento delle lesioni cutanee, per patologie respiratorie e altri prodotti correlati a qualsivoglia ospedalizzazione a domicilio, durante lo stato di emergenza. La norma prevede, inoltre, che le Regioni adottino procedure accelerate per l’effettuazione delle prime autorizzazioni dei nuovi piani terapeutici a seguito della ulteriore scadenza definita dalla proroga.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21) Articolo 33 del decreto-legge 19 maggio 2020, n. 34, convertito, con modificazioni, dalla legge 17 luglio 2020, n. 77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Proroga delle forme di sottoscrizione e comunicazione di contratti finanziari e assicurativi in modo semplificato</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Si proroga, in relazione allo stato di emergenza, la disposizione che prevede che, ai fini dell'articolo 23 del testo unico di cui al decreto legislativo 24 febbraio 1998, n. 58, e delle disposizioni di attuazione degli articoli 95 e 98-quater del medesimo decreto legislativo n. 58 del 1998, fatte salve le previsioni sulle tecniche di conclusione dei contratti mediante strumenti informativi o telematici, i contratti soddisfano il requisito e hanno l'efficacia di cui all'articolo 20, comma 1-bis, primo periodo, del codice di cui al decreto legislativo 7 marzo 2005, n. 82, anche se il cliente esprime il proprio consenso mediante comunicazione inviata dal proprio indirizzo di posta elettronica non certificata o con altro strumento idoneo, a condizione che l'espressione del consenso sia accompagnata da copia di un documento di riconoscimento in corso di validità del contraente, faccia riferimento ad un contratto identificabile in modo certo e sia conservata insieme al contratto medesimo con modalità tali da garantirne la sicurezza, l'integrità e l'immodificabilità. Il requisito della consegna di copia del contratto e della documentazione informativa obbligatoria è soddisfatto anche mediante la messa a disposizione del cliente di copia del testo del contratto e della documentazione informativa obbligatoria su supporto durevole; l'intermediario consegna al cliente copia del contratto e della documentazione informativa obbligatoria alla prima occasione utile successiva al termine dello stato di emergenza. Il cliente può usare il medesimo strumento impiegato per esprimere il consenso al contratto anche per esercitare i diritti previsti dalla legge o dal contratto stesso. Tale disciplina si applica, altresì, ai fini dell'articolo 165 del codice di cui al decreto legislativo 7 settembre 2005, n. 209, e dell'articolo 1888 del codice civile. Continuano ad applicarsi gli articoli 4-sexies; 4-septies, 4-decies, 193-quinquies e 194-septies del testo unico delle disposizioni in materia di intermediazione finanziaria, di cui al decreto legislativo 24 febbraio 1998, n. 58, nella formulazione vigente il giorno precedente alla data di entrata in vigore del decreto legislativo 25 novembre 2019, n. 165, e le disposizioni regolamentari emanate dalla Commissione nazionale per le società e la borsa ai sensi del menzionato articolo 4-sexies, comma 5, fino alla data del 31 dicembre 2020.</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22) Articolo 34 del decreto-legge 19 maggio 2020, n. 34, convertito, con modificazioni, dalla legge 17 luglio 2020, n. 77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Disposizioni in materia di buoni fruttiferi postali</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Si proroga, in relazione allo stato di emergenza, la disposizione che prevede che i contratti relativi al servizio di collocamento dei buoni fruttiferi postali dematerializzati possono essere stipulati anche mediante telefonia vocale in deroga all'articolo 2, comma 3 del decreto del Presidente della Repubblica 14 marzo 2001, n. 144, previo accertamento con le medesime modalità della identità del sottoscrittore, purché il consenso del sottoscrittore reso telefonicamente sia attestato mediante registrazione vocale, con modalità tali da garantirne la sicurezza, l'integrità e l'immodificabilità, custodita dal proponente. Prima che il sottoscrittore sia vincolato dal contratto di collocamento concluso telefonicamente gli dovranno essere fornite le informazioni previste dalla normativa vigente in materia di commercializzazione a distanza di servizi finanziari ai consumatori di cui al decreto legislativo 6 settembre 2005, n. 206, ivi comprese le informazioni relative all'esercizio del diritto di recesso. Successivamente alla conclusione del contratto relativo al servizio di collocamento viene in ogni caso trasmessa senza ritardo al sottoscrittore copia cartacea del contratto relativo al servizio di collocamento, comprensivo delle condizioni generali di contratto. Il cliente può usare il medesimo strumento impiegato per esprimere il consenso al contratto anche per esercitare il diritto di recesso, nel rispetto dei termini previsti dal citato decreto legislativo n. 206 del 2005, sulla commercializzazione a distanza di servizi finanziari ai consumatori. Il termine per il diritto di recesso decorre dalla ricezione della copia cartacea, a seguito di trasmissione o spedizione per posta. Per l'esercizio degli altri diritti previsti dalla legge o dal contratto stesso, il sottoscrittore può usare il medesimo strumento impiegato per la conclusione del contratto. Resta salva l'applicazione, in quanto compatibili, delle previsioni del citato decreto legislativo n. 206 del 2005, in materia di commercializzazione a distanza di servizi finanziari ai consumatori, ivi incluso l'articolo 67-quaterdecies sul pagamento dei servizi finanziari offerti a distanza. I buoni fruttiferi postali il cui termine di prescrizione cade nel periodo di emergenza sono esigibili dai sottoscrittori o dagli aventi causa entro due mesi successivi al termine del predetto stato di emergenza.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23)</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Articolo 83 del decreto-legge 19 maggio 2020, n. 34, convertito, con modificazioni, dalla legge 17 luglio 2020, n. 77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Sorveglianza sanitaria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L’articolo 83, comma 1 del decreto-legge 19 maggio 2020, n. 34 ha disposto, fino alla data di cessazione dello stato di emergenza – ferma  restando la disciplina in materia di sorveglianza sanitaria stabilita dal Testo unico sicurezza - l’obbligo per i datori di lavoro di assicurare la sorveglianza sanitaria eccezionale dei lavoratori maggiormente esposti a rischio di contagio, in ragione di determinati fattori (età, immunodepressione, esiti di patologie oncologiche, svolgimento di terapie salvavita o comorbilità) al fine di garantire lo svolgimento in sicurezza delle attività produttive e commerciali in relazione al rischio di contagio da virus SARS-CoV-2.</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I datori di lavoro non tenuti per legge alla nomina del medico competente alla sorveglianza sanitaria devono garantire comunque ai lavoratori maggiormente esposti a rischio di contagio le misure di sorveglianza sanitaria eccezionale, potendo alternativamente scegliere tra la nomina di un medico competente o la possibilità di farne richiesta ai servizi territoriali dell’Inail che vi provvedono con propri medici del lavoro.  La determinazione della tariffa per l'effettuazione di tali prestazioni viene demandata ad un decreto interministeriale (Lavoro, Salute, Mef e Salute). Si stabilisce inoltre che l’inidoneità accertata ai sensi del citato articolo 83 non può costituire in ogni caso causa legittima di recesso del datore dal contratto di lavoro. </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Per le finalità sopra descritte, l'INAIL, previa convezione con l’ANPAL, può assumere, con contratti di lavoro a tempo determinato (durata massima di 15 mesi), figure sanitarie, tecnico-specialistiche e di supporto di età non superiore a 29 anni, entro uno specifico limite di spesa. </w:t>
      </w:r>
    </w:p>
    <w:p>
      <w:pPr>
        <w:pStyle w:val="Normal"/>
        <w:shd w:fill="FFFFFF" w:val="clear"/>
        <w:spacing w:lineRule="auto" w:line="240" w:before="0" w:after="0"/>
        <w:jc w:val="both"/>
        <w:rPr>
          <w:rFonts w:eastAsia="Times New Roman"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Atteso il perdurare della situazione emergenziale connessa con la pandemia in corso, si rende necessaria l'ulteriore proroga </w:t>
      </w:r>
      <w:r>
        <w:rPr>
          <w:rFonts w:eastAsia="Times New Roman" w:cs="Times New Roman" w:ascii="Times New Roman" w:hAnsi="Times New Roman"/>
          <w:sz w:val="24"/>
          <w:szCs w:val="24"/>
        </w:rPr>
        <w:t>dei termini della presente disposizione</w:t>
      </w:r>
      <w:r>
        <w:rPr>
          <w:rFonts w:eastAsia="Times New Roman" w:cs="Times New Roman" w:ascii="Times New Roman" w:hAnsi="Times New Roman"/>
          <w:color w:val="000000"/>
          <w:sz w:val="24"/>
          <w:szCs w:val="24"/>
        </w:rPr>
        <w:t xml:space="preserve">, fino alla data di cessazione dello stato di emergenza epidemiologica da COVID-19 e comunque non oltre il 31 luglio 2021. </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24)</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Articolo 90, commi 3 e 4, del decreto-legge 19 maggio 2020 2, n. 34, convertito con modificazioni, dalla legge 17 luglio 2020 n. 77.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Disposizioni in materia di lavoro agile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Con la presente disposizione normativa si prorogano, fino alla cessazione dello stato di emergenza e comunque non oltre il 31 luglio 2021, le disposizioni che prevedono obblighi di comunicazione in capo ai datori di lavoro del settore privato in materia di lavoro agile nonché la facoltà per gli stessi datori di applicare la modalità di lavoro agile disciplinata dagli articoli da 18 a 23 della legge 22 maggio 2017, n. 81 a ogni rapporto di lavoro subordinato, anche in assenza degli accordi individuali ivi previsti, nel rispetto dei princìpi dettati dalle menzionate disposizioni. La disposizione non comporta oneri.</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25)</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Articolo 100 del decreto-legge 19 maggio 2020, n. 34, convertito, con modificazioni, dalla legge 17 luglio 2020, n. 77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Impiego del Comando dei Carabinieri per la tutela del lavoro da parte del Ministro del lavoro e delle politiche sociali</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 disposizione in argomento stabilisce che in via eccezionale, al fine di contrastare e contenere la diffusione del COVID-19, sino alla cessazione dello stato di emergenza e comunque non oltre il 31 luglio 2021, il Ministro del lavoro e delle politiche sociali, per far fronte all'emergenza epidemiologica e al fine di assicurare una tempestiva vigilanza in materia di salute e sicurezza nei luoghi di lavoro nel processo di riavvio delle attività produttive in base a quanto stabilito dalla Convenzione concernente gli obiettivi assegnati all'Ispettorato Nazionale del Lavoro (2019-2021) – sottoscritta tra il Ministro del lavoro e delle politiche sociali e il Direttore dell'Ispettorato Nazionale del lavoro in data 25 novembre 2019 – si avvale in via diretta, oltre che dell'Ispettorato nazionale del lavoro, anche del Comando dei Carabinieri per la Tutela del Lavoro e delle articolazioni dipendenti, limitatamente al personale già in organico, ai sensi dell'articolo 2 del decreto legislativo 19 agosto 2016, n. 177 e del decreto del Ministro dell'interno 15 agosto 2017.</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26)</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Articolo 232, commi 4 e 5, del decreto-legge 19 maggio 2020, n. 34, convertito, con modificazioni, dalla legge 17 luglio 2020, n. 77</w:t>
      </w:r>
    </w:p>
    <w:p>
      <w:pPr>
        <w:pStyle w:val="Normal"/>
        <w:spacing w:lineRule="auto" w:line="240" w:before="0" w:after="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Edilizia scolastica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Si proroga il termine previsto dall’articolo 232, comma 4, del decreto-legge 19 maggio 2020, n. 34, entro il quale gli enti locali possono procedere al pagamento degli stati di avanzamento dei lavori per gli interventi di edilizia scolastica durante la fase di emergenza da Covid-19.</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In tal modo, verrà consentito l’eventuale completamento, con le medesime regole procedurali semplificate già previste e in deroga ai limiti fissati in generale per i contratti di appalto, degli interventi di edilizia scolastica comunque collegati alle mutate condizioni dovute all’emergenza epidemiologica.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Si proroga, inoltre, il regime di semplificazione procedurale, previsto dall’articolo 232, comma 5, del medesimo decreto-legge n. 34/2020, al fine di consentire l’immediata conclusione delle procedure di adozione degli atti e dei decreti di assegnazione delle risorse sempre in materia di edilizia scolastica.</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In particolare, si prevede che i concerti e i pareri delle Amministrazioni centrali coinvolte nell’adozione dei predetti atti e decreti, debbano essere acquisiti entro il più breve termine di 10 giorni dalla relativa richiesta formale. Decorso tale termine, il Ministero dell'istruzione dovrà indire, nei tre giorni successivi, apposita conferenza dì servizi convocando tutte le Amministrazioni interessate e trasmettendo contestualmente alle medesime il provvedimento da adottare.</w:t>
      </w:r>
    </w:p>
    <w:p>
      <w:pPr>
        <w:pStyle w:val="Normal"/>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lineRule="auto" w:line="240" w:before="0" w:after="0"/>
        <w:ind w:left="1775" w:right="0" w:hanging="0"/>
        <w:jc w:val="both"/>
        <w:rPr/>
      </w:pPr>
      <w:r>
        <w:rPr/>
      </w:r>
    </w:p>
    <w:sectPr>
      <w:footerReference w:type="default" r:id="rId2"/>
      <w:type w:val="nextPage"/>
      <w:pgSz w:w="11906" w:h="16838"/>
      <w:pgMar w:left="1134" w:right="1134" w:header="0" w:top="1417" w:footer="708" w:bottom="1134"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keepNext/>
      <w:keepLines w:val="false"/>
      <w:widowControl/>
      <w:pBdr>
        <w:top w:val="nil"/>
        <w:left w:val="nil"/>
        <w:bottom w:val="nil"/>
        <w:right w:val="nil"/>
      </w:pBdr>
      <w:shd w:fill="FFFFFF" w:val="clear"/>
      <w:tabs>
        <w:tab w:val="center" w:pos="4819" w:leader="none"/>
        <w:tab w:val="right" w:pos="9638" w:leader="none"/>
      </w:tabs>
      <w:spacing w:lineRule="auto" w:line="240" w:before="0" w:after="0"/>
      <w:ind w:left="0" w:right="0" w:hanging="0"/>
      <w:jc w:val="right"/>
      <w:rPr/>
    </w:pPr>
    <w:r>
      <w:rPr/>
      <w:fldChar w:fldCharType="begin"/>
    </w:r>
    <w:r>
      <w:instrText> PAGE </w:instrText>
    </w:r>
    <w:r>
      <w:fldChar w:fldCharType="separate"/>
    </w:r>
    <w:r>
      <w:t>14</w:t>
    </w:r>
    <w:r>
      <w:fldChar w:fldCharType="end"/>
    </w:r>
  </w:p>
  <w:p>
    <w:pPr>
      <w:pStyle w:val="Normal"/>
      <w:keepNext/>
      <w:keepLines w:val="false"/>
      <w:widowControl/>
      <w:pBdr>
        <w:top w:val="nil"/>
        <w:left w:val="nil"/>
        <w:bottom w:val="nil"/>
        <w:right w:val="nil"/>
      </w:pBdr>
      <w:shd w:fill="FFFFFF" w:val="clear"/>
      <w:tabs>
        <w:tab w:val="center" w:pos="4819" w:leader="none"/>
        <w:tab w:val="right" w:pos="9638" w:leader="none"/>
      </w:tabs>
      <w:spacing w:lineRule="auto" w:line="240" w:before="0" w:after="0"/>
      <w:ind w:left="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ftr>
</file>

<file path=word/settings.xml><?xml version="1.0" encoding="utf-8"?>
<w:settings xmlns:w="http://schemas.openxmlformats.org/wordprocessingml/2006/main">
  <w:zoom w:percent="78"/>
  <w:defaultTabStop w:val="720"/>
</w:settings>
</file>

<file path=word/styles.xml><?xml version="1.0" encoding="utf-8"?>
<w:styles xmlns:w="http://schemas.openxmlformats.org/wordprocessingml/2006/main">
  <w:docDefaults>
    <w:rPrDefault>
      <w:rPr>
        <w:rFonts w:ascii="Calibri" w:hAnsi="Calibri" w:eastAsia="Calibri" w:cs="Calibri"/>
        <w:sz w:val="22"/>
        <w:szCs w:val="22"/>
        <w:lang w:val="it-IT" w:eastAsia="zh-CN" w:bidi="hi-IN"/>
      </w:rPr>
    </w:rPrDefault>
    <w:pPrDefault>
      <w:pPr>
        <w:spacing w:lineRule="auto" w:line="252"/>
      </w:pPr>
    </w:pPrDefault>
  </w:docDefaults>
  <w:style w:type="paragraph" w:styleId="Normal">
    <w:name w:val="Normal"/>
    <w:pPr>
      <w:widowControl w:val="false"/>
      <w:suppressAutoHyphens w:val="true"/>
      <w:spacing w:lineRule="auto" w:line="252" w:before="0" w:after="160"/>
    </w:pPr>
    <w:rPr>
      <w:rFonts w:ascii="Calibri" w:hAnsi="Calibri" w:eastAsia="Calibri" w:cs="Calibri"/>
      <w:color w:val="auto"/>
      <w:sz w:val="22"/>
      <w:szCs w:val="22"/>
      <w:lang w:val="it-IT" w:eastAsia="zh-CN" w:bidi="hi-IN"/>
    </w:rPr>
  </w:style>
  <w:style w:type="paragraph" w:styleId="Titolo1">
    <w:name w:val="Titolo 1"/>
    <w:basedOn w:val="Normal1"/>
    <w:next w:val="Normal"/>
    <w:pPr>
      <w:keepNext/>
      <w:keepLines/>
      <w:spacing w:lineRule="auto" w:line="240" w:before="480" w:after="120"/>
    </w:pPr>
    <w:rPr>
      <w:b/>
      <w:sz w:val="48"/>
      <w:szCs w:val="48"/>
    </w:rPr>
  </w:style>
  <w:style w:type="paragraph" w:styleId="Titolo2">
    <w:name w:val="Titolo 2"/>
    <w:basedOn w:val="Normal1"/>
    <w:next w:val="Normal"/>
    <w:pPr>
      <w:keepNext/>
      <w:keepLines/>
      <w:spacing w:lineRule="auto" w:line="240" w:before="360" w:after="80"/>
    </w:pPr>
    <w:rPr>
      <w:b/>
      <w:sz w:val="36"/>
      <w:szCs w:val="36"/>
    </w:rPr>
  </w:style>
  <w:style w:type="paragraph" w:styleId="Titolo3">
    <w:name w:val="Titolo 3"/>
    <w:basedOn w:val="Normal1"/>
    <w:next w:val="Normal"/>
    <w:pPr>
      <w:keepNext/>
      <w:keepLines/>
      <w:spacing w:lineRule="auto" w:line="240" w:before="280" w:after="80"/>
    </w:pPr>
    <w:rPr>
      <w:b/>
      <w:sz w:val="28"/>
      <w:szCs w:val="28"/>
    </w:rPr>
  </w:style>
  <w:style w:type="paragraph" w:styleId="Titolo4">
    <w:name w:val="Titolo 4"/>
    <w:basedOn w:val="Normal1"/>
    <w:next w:val="Normal"/>
    <w:pPr>
      <w:keepNext/>
      <w:keepLines/>
      <w:spacing w:lineRule="auto" w:line="240" w:before="240" w:after="40"/>
    </w:pPr>
    <w:rPr>
      <w:b/>
      <w:sz w:val="24"/>
      <w:szCs w:val="24"/>
    </w:rPr>
  </w:style>
  <w:style w:type="paragraph" w:styleId="Titolo5">
    <w:name w:val="Titolo 5"/>
    <w:basedOn w:val="Normal1"/>
    <w:next w:val="Normal"/>
    <w:pPr>
      <w:keepNext/>
      <w:keepLines/>
      <w:spacing w:lineRule="auto" w:line="240" w:before="220" w:after="40"/>
    </w:pPr>
    <w:rPr>
      <w:b/>
      <w:sz w:val="22"/>
      <w:szCs w:val="22"/>
    </w:rPr>
  </w:style>
  <w:style w:type="paragraph" w:styleId="Titolo6">
    <w:name w:val="Titolo 6"/>
    <w:basedOn w:val="Normal1"/>
    <w:next w:val="Normal"/>
    <w:pPr>
      <w:keepNext/>
      <w:keepLines/>
      <w:spacing w:lineRule="auto" w:line="240" w:before="200" w:after="40"/>
    </w:pPr>
    <w:rPr>
      <w:b/>
      <w:sz w:val="20"/>
      <w:szCs w:val="20"/>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pPr>
      <w:suppressLineNumbers/>
    </w:pPr>
    <w:rPr>
      <w:rFonts w:cs="Arial"/>
    </w:rPr>
  </w:style>
  <w:style w:type="paragraph" w:styleId="Normal1" w:default="1">
    <w:name w:val="LO-normal"/>
    <w:pPr>
      <w:widowControl/>
      <w:suppressAutoHyphens w:val="true"/>
      <w:bidi w:val="0"/>
      <w:spacing w:lineRule="auto" w:line="252" w:before="0" w:after="160"/>
      <w:jc w:val="left"/>
    </w:pPr>
    <w:rPr>
      <w:rFonts w:ascii="Calibri" w:hAnsi="Calibri" w:eastAsia="Calibri" w:cs="Calibri"/>
      <w:color w:val="auto"/>
      <w:sz w:val="22"/>
      <w:szCs w:val="22"/>
      <w:lang w:val="it-IT" w:eastAsia="zh-CN" w:bidi="hi-IN"/>
    </w:rPr>
  </w:style>
  <w:style w:type="paragraph" w:styleId="Titoloprincipale">
    <w:name w:val="Titolo principale"/>
    <w:basedOn w:val="Normal1"/>
    <w:next w:val="Normal"/>
    <w:pPr>
      <w:keepNext/>
      <w:keepLines/>
      <w:spacing w:lineRule="auto" w:line="240" w:before="480" w:after="120"/>
      <w:jc w:val="left"/>
    </w:pPr>
    <w:rPr>
      <w:b/>
      <w:sz w:val="72"/>
      <w:szCs w:val="72"/>
    </w:rPr>
  </w:style>
  <w:style w:type="paragraph" w:styleId="Sottotitolo">
    <w:name w:val="Sottotitolo"/>
    <w:basedOn w:val="Normal1"/>
    <w:next w:val="Normal"/>
    <w:pPr>
      <w:keepNext/>
      <w:keepLines/>
      <w:spacing w:lineRule="auto" w:line="240" w:before="360" w:after="80"/>
      <w:jc w:val="left"/>
    </w:pPr>
    <w:rPr>
      <w:rFonts w:ascii="Georgia" w:hAnsi="Georgia" w:eastAsia="Georgia" w:cs="Georgia"/>
      <w:i/>
      <w:color w:val="666666"/>
      <w:sz w:val="48"/>
      <w:szCs w:val="48"/>
    </w:rPr>
  </w:style>
  <w:style w:type="paragraph" w:styleId="Pidipagina">
    <w:name w:val="Piè di pagina"/>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it-IT</dc:language>
  <cp:revision>0</cp:revision>
</cp:coreProperties>
</file>